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val="0"/>
        <w:shd w:val="clear" w:color="auto" w:fill="auto"/>
        <w:bidi w:val="0"/>
        <w:spacing w:line="240" w:lineRule="auto"/>
        <w:ind w:left="0" w:right="0" w:firstLine="0"/>
        <w:jc w:val="both"/>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spacing w:val="0"/>
          <w:w w:val="100"/>
          <w:position w:val="0"/>
          <w:sz w:val="32"/>
          <w:szCs w:val="32"/>
          <w:shd w:val="clear" w:color="auto" w:fill="auto"/>
        </w:rPr>
        <w:t>附件</w:t>
      </w:r>
      <w:r>
        <w:rPr>
          <w:rFonts w:hint="eastAsia" w:asciiTheme="minorEastAsia" w:hAnsiTheme="minorEastAsia" w:eastAsiaTheme="minorEastAsia" w:cstheme="minorEastAsia"/>
          <w:b w:val="0"/>
          <w:bCs w:val="0"/>
          <w:color w:val="000000"/>
          <w:spacing w:val="0"/>
          <w:w w:val="100"/>
          <w:position w:val="0"/>
          <w:sz w:val="32"/>
          <w:szCs w:val="32"/>
          <w:shd w:val="clear" w:color="auto" w:fill="auto"/>
          <w:lang w:val="en-US" w:eastAsia="zh-CN"/>
        </w:rPr>
        <w:t>1</w:t>
      </w:r>
      <w:r>
        <w:rPr>
          <w:rFonts w:hint="eastAsia" w:asciiTheme="minorEastAsia" w:hAnsiTheme="minorEastAsia" w:eastAsiaTheme="minorEastAsia" w:cstheme="minorEastAsia"/>
          <w:b w:val="0"/>
          <w:bCs w:val="0"/>
          <w:color w:val="000000"/>
          <w:spacing w:val="0"/>
          <w:w w:val="100"/>
          <w:position w:val="0"/>
          <w:shd w:val="clear" w:color="auto" w:fill="auto"/>
        </w:rPr>
        <w:t>：</w:t>
      </w:r>
    </w:p>
    <w:p>
      <w:pPr>
        <w:pStyle w:val="9"/>
        <w:keepNext/>
        <w:keepLines/>
        <w:widowControl w:val="0"/>
        <w:shd w:val="clear" w:color="auto" w:fill="auto"/>
        <w:bidi w:val="0"/>
        <w:spacing w:before="0" w:after="240" w:line="240" w:lineRule="auto"/>
        <w:ind w:left="0" w:right="0" w:firstLine="0"/>
        <w:jc w:val="center"/>
        <w:rPr>
          <w:b w:val="0"/>
          <w:bCs w:val="0"/>
        </w:rPr>
      </w:pPr>
      <w:bookmarkStart w:id="0" w:name="bookmark0"/>
      <w:bookmarkStart w:id="1" w:name="bookmark1"/>
      <w:r>
        <w:rPr>
          <w:b w:val="0"/>
          <w:bCs w:val="0"/>
          <w:color w:val="000000"/>
          <w:spacing w:val="0"/>
          <w:w w:val="100"/>
          <w:position w:val="0"/>
          <w:shd w:val="clear" w:color="auto" w:fill="auto"/>
        </w:rPr>
        <w:t>华南农业大学经济管理学院</w:t>
      </w:r>
      <w:bookmarkEnd w:id="0"/>
      <w:bookmarkEnd w:id="1"/>
    </w:p>
    <w:p>
      <w:pPr>
        <w:pStyle w:val="9"/>
        <w:keepNext/>
        <w:keepLines/>
        <w:widowControl w:val="0"/>
        <w:shd w:val="clear" w:color="auto" w:fill="auto"/>
        <w:bidi w:val="0"/>
        <w:spacing w:before="0" w:after="420" w:line="240" w:lineRule="auto"/>
        <w:ind w:left="0" w:right="0" w:firstLine="0"/>
        <w:jc w:val="center"/>
        <w:rPr>
          <w:b w:val="0"/>
          <w:bCs w:val="0"/>
        </w:rPr>
      </w:pPr>
      <w:bookmarkStart w:id="2" w:name="bookmark2"/>
      <w:bookmarkStart w:id="3" w:name="bookmark3"/>
      <w:r>
        <w:rPr>
          <w:b w:val="0"/>
          <w:bCs w:val="0"/>
          <w:color w:val="000000"/>
          <w:spacing w:val="0"/>
          <w:w w:val="100"/>
          <w:position w:val="0"/>
          <w:shd w:val="clear" w:color="auto" w:fill="auto"/>
        </w:rPr>
        <w:t>研究生新生学业奖学金评选办法（试行）</w:t>
      </w:r>
      <w:bookmarkEnd w:id="2"/>
      <w:bookmarkEnd w:id="3"/>
    </w:p>
    <w:p>
      <w:pPr>
        <w:pStyle w:val="11"/>
        <w:keepNext/>
        <w:keepLines/>
        <w:widowControl w:val="0"/>
        <w:shd w:val="clear" w:color="auto" w:fill="auto"/>
        <w:bidi w:val="0"/>
        <w:spacing w:before="0" w:line="240" w:lineRule="auto"/>
        <w:ind w:left="0" w:right="0" w:firstLine="0"/>
        <w:jc w:val="center"/>
        <w:rPr>
          <w:b w:val="0"/>
          <w:bCs w:val="0"/>
        </w:rPr>
      </w:pPr>
      <w:bookmarkStart w:id="4" w:name="bookmark4"/>
      <w:bookmarkStart w:id="5" w:name="bookmark5"/>
      <w:r>
        <w:rPr>
          <w:b w:val="0"/>
          <w:bCs w:val="0"/>
          <w:color w:val="000000"/>
          <w:spacing w:val="0"/>
          <w:w w:val="100"/>
          <w:position w:val="0"/>
          <w:shd w:val="clear" w:color="auto" w:fill="auto"/>
        </w:rPr>
        <w:t>第一章总则</w:t>
      </w:r>
      <w:bookmarkEnd w:id="4"/>
      <w:bookmarkEnd w:id="5"/>
    </w:p>
    <w:p>
      <w:pPr>
        <w:pStyle w:val="13"/>
        <w:keepNext w:val="0"/>
        <w:keepLines w:val="0"/>
        <w:widowControl w:val="0"/>
        <w:shd w:val="clear" w:color="auto" w:fill="auto"/>
        <w:bidi w:val="0"/>
        <w:spacing w:before="0" w:after="360" w:line="468" w:lineRule="exact"/>
        <w:ind w:left="0" w:right="0" w:firstLine="480"/>
        <w:jc w:val="both"/>
        <w:rPr>
          <w:b w:val="0"/>
          <w:bCs w:val="0"/>
        </w:rPr>
      </w:pPr>
      <w:r>
        <w:rPr>
          <w:b w:val="0"/>
          <w:bCs w:val="0"/>
          <w:color w:val="000000"/>
          <w:spacing w:val="0"/>
          <w:w w:val="100"/>
          <w:position w:val="0"/>
          <w:shd w:val="clear" w:color="auto" w:fill="auto"/>
        </w:rPr>
        <w:t>第一条为吸引优秀生源，优化生源结构，激励研究生勤奋学习、潜心科研、勇于创新、积极进取，全面提高研究生培养</w:t>
      </w:r>
      <w:bookmarkStart w:id="16" w:name="_GoBack"/>
      <w:bookmarkEnd w:id="16"/>
      <w:r>
        <w:rPr>
          <w:b w:val="0"/>
          <w:bCs w:val="0"/>
          <w:color w:val="000000"/>
          <w:spacing w:val="0"/>
          <w:w w:val="100"/>
          <w:position w:val="0"/>
          <w:shd w:val="clear" w:color="auto" w:fill="auto"/>
        </w:rPr>
        <w:t>质量，加强研究生教育和管理，进一步规范研究生评优工作，根据《华南农业大学研究生学业奖学金评选暂行办法》等文件精神，结合学院实际，制定本办法。</w:t>
      </w:r>
    </w:p>
    <w:p>
      <w:pPr>
        <w:pStyle w:val="11"/>
        <w:keepNext/>
        <w:keepLines/>
        <w:widowControl w:val="0"/>
        <w:shd w:val="clear" w:color="auto" w:fill="auto"/>
        <w:bidi w:val="0"/>
        <w:spacing w:before="0" w:line="240" w:lineRule="auto"/>
        <w:ind w:left="0" w:right="0" w:firstLine="0"/>
        <w:jc w:val="center"/>
        <w:rPr>
          <w:b w:val="0"/>
          <w:bCs w:val="0"/>
        </w:rPr>
      </w:pPr>
      <w:bookmarkStart w:id="6" w:name="bookmark6"/>
      <w:bookmarkStart w:id="7" w:name="bookmark7"/>
      <w:r>
        <w:rPr>
          <w:b w:val="0"/>
          <w:bCs w:val="0"/>
          <w:color w:val="000000"/>
          <w:spacing w:val="0"/>
          <w:w w:val="100"/>
          <w:position w:val="0"/>
          <w:shd w:val="clear" w:color="auto" w:fill="auto"/>
        </w:rPr>
        <w:t>第二章奖项设置和奖励标准</w:t>
      </w:r>
      <w:bookmarkEnd w:id="6"/>
      <w:bookmarkEnd w:id="7"/>
    </w:p>
    <w:p>
      <w:pPr>
        <w:pStyle w:val="13"/>
        <w:keepNext w:val="0"/>
        <w:keepLines w:val="0"/>
        <w:widowControl w:val="0"/>
        <w:shd w:val="clear" w:color="auto" w:fill="auto"/>
        <w:bidi w:val="0"/>
        <w:spacing w:before="0" w:after="0" w:line="470" w:lineRule="exact"/>
        <w:ind w:left="0" w:right="0" w:firstLine="480"/>
        <w:jc w:val="both"/>
        <w:rPr>
          <w:b w:val="0"/>
          <w:bCs w:val="0"/>
        </w:rPr>
      </w:pPr>
      <w:r>
        <w:rPr>
          <w:b w:val="0"/>
          <w:bCs w:val="0"/>
          <w:color w:val="000000"/>
          <w:spacing w:val="0"/>
          <w:w w:val="100"/>
          <w:position w:val="0"/>
          <w:shd w:val="clear" w:color="auto" w:fill="auto"/>
        </w:rPr>
        <w:t>第二条奖项设置</w:t>
      </w:r>
    </w:p>
    <w:p>
      <w:pPr>
        <w:pStyle w:val="13"/>
        <w:keepNext w:val="0"/>
        <w:keepLines w:val="0"/>
        <w:widowControl w:val="0"/>
        <w:shd w:val="clear" w:color="auto" w:fill="auto"/>
        <w:bidi w:val="0"/>
        <w:spacing w:before="0" w:after="0" w:line="470" w:lineRule="exact"/>
        <w:ind w:left="0" w:right="0" w:firstLine="480"/>
        <w:jc w:val="both"/>
        <w:rPr>
          <w:b w:val="0"/>
          <w:bCs w:val="0"/>
        </w:rPr>
      </w:pPr>
      <w:r>
        <w:rPr>
          <w:b w:val="0"/>
          <w:bCs w:val="0"/>
          <w:color w:val="000000"/>
          <w:spacing w:val="0"/>
          <w:w w:val="100"/>
          <w:position w:val="0"/>
          <w:shd w:val="clear" w:color="auto" w:fill="auto"/>
        </w:rPr>
        <w:t>研究生新生学业奖学金分为博士研究生新生学业奖学金和硕士研究生新生学业奖学金，分别设置一、二、三等奖。</w:t>
      </w:r>
    </w:p>
    <w:p>
      <w:pPr>
        <w:pStyle w:val="13"/>
        <w:keepNext w:val="0"/>
        <w:keepLines w:val="0"/>
        <w:widowControl w:val="0"/>
        <w:shd w:val="clear" w:color="auto" w:fill="auto"/>
        <w:bidi w:val="0"/>
        <w:spacing w:before="0" w:after="0" w:line="470" w:lineRule="exact"/>
        <w:ind w:left="0" w:right="0" w:firstLine="480"/>
        <w:jc w:val="both"/>
        <w:rPr>
          <w:b w:val="0"/>
          <w:bCs w:val="0"/>
        </w:rPr>
      </w:pPr>
      <w:r>
        <w:rPr>
          <w:b w:val="0"/>
          <w:bCs w:val="0"/>
          <w:color w:val="000000"/>
          <w:spacing w:val="0"/>
          <w:w w:val="100"/>
          <w:position w:val="0"/>
          <w:shd w:val="clear" w:color="auto" w:fill="auto"/>
        </w:rPr>
        <w:t>第三条奖励标准</w:t>
      </w:r>
    </w:p>
    <w:p>
      <w:pPr>
        <w:pStyle w:val="13"/>
        <w:keepNext w:val="0"/>
        <w:keepLines w:val="0"/>
        <w:widowControl w:val="0"/>
        <w:shd w:val="clear" w:color="auto" w:fill="auto"/>
        <w:bidi w:val="0"/>
        <w:spacing w:before="0" w:after="180" w:line="470" w:lineRule="exact"/>
        <w:ind w:left="0" w:right="0" w:firstLine="480"/>
        <w:jc w:val="both"/>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、非定向研究生享受学业奖学金荣誉鼓励和奖金奖励，定向研究生享受荣誉鼓励。获得学业奖学金的研究生，可以同时获得研究生国家奖学金等其他国家奖助</w:t>
      </w:r>
    </w:p>
    <w:p>
      <w:pPr>
        <w:pStyle w:val="15"/>
        <w:keepNext w:val="0"/>
        <w:keepLines w:val="0"/>
        <w:widowControl w:val="0"/>
        <w:shd w:val="clear" w:color="auto" w:fill="auto"/>
        <w:bidi w:val="0"/>
        <w:spacing w:before="0" w:after="180" w:line="240" w:lineRule="auto"/>
        <w:ind w:left="0" w:right="0" w:firstLine="0"/>
        <w:jc w:val="left"/>
        <w:rPr>
          <w:b w:val="0"/>
          <w:bCs w:val="0"/>
        </w:rPr>
      </w:pPr>
      <w:r>
        <w:rPr>
          <w:b w:val="0"/>
          <w:bCs w:val="0"/>
          <w:color w:val="000000"/>
          <w:spacing w:val="0"/>
          <w:w w:val="100"/>
          <w:position w:val="0"/>
          <w:shd w:val="clear" w:color="auto" w:fill="auto"/>
        </w:rPr>
        <w:t>政策以及校内其他研究生奖助政策资助。</w:t>
      </w:r>
    </w:p>
    <w:p>
      <w:pPr>
        <w:pStyle w:val="15"/>
        <w:keepNext w:val="0"/>
        <w:keepLines w:val="0"/>
        <w:widowControl w:val="0"/>
        <w:shd w:val="clear" w:color="auto" w:fill="auto"/>
        <w:bidi w:val="0"/>
        <w:spacing w:before="0" w:after="0" w:line="240" w:lineRule="auto"/>
        <w:ind w:left="0" w:right="0" w:firstLine="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、非定向研究生的奖学金类别、等级、比例与奖励标准如下:</w:t>
      </w:r>
    </w:p>
    <w:tbl>
      <w:tblPr>
        <w:tblStyle w:val="2"/>
        <w:tblW w:w="0" w:type="auto"/>
        <w:jc w:val="center"/>
        <w:tblLayout w:type="fixed"/>
        <w:tblCellMar>
          <w:top w:w="0" w:type="dxa"/>
          <w:left w:w="10" w:type="dxa"/>
          <w:bottom w:w="0" w:type="dxa"/>
          <w:right w:w="10" w:type="dxa"/>
        </w:tblCellMar>
      </w:tblPr>
      <w:tblGrid>
        <w:gridCol w:w="1955"/>
        <w:gridCol w:w="1843"/>
        <w:gridCol w:w="1883"/>
        <w:gridCol w:w="2668"/>
      </w:tblGrid>
      <w:tr>
        <w:tblPrEx>
          <w:tblCellMar>
            <w:top w:w="0" w:type="dxa"/>
            <w:left w:w="10" w:type="dxa"/>
            <w:bottom w:w="0" w:type="dxa"/>
            <w:right w:w="10" w:type="dxa"/>
          </w:tblCellMar>
        </w:tblPrEx>
        <w:trPr>
          <w:trHeight w:val="608" w:hRule="exact"/>
          <w:jc w:val="center"/>
        </w:trPr>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类别</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等级</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比例</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奖励标准（元/人•年）</w:t>
            </w:r>
          </w:p>
        </w:tc>
      </w:tr>
      <w:tr>
        <w:tblPrEx>
          <w:tblCellMar>
            <w:top w:w="0" w:type="dxa"/>
            <w:left w:w="10" w:type="dxa"/>
            <w:bottom w:w="0" w:type="dxa"/>
            <w:right w:w="10" w:type="dxa"/>
          </w:tblCellMar>
        </w:tblPrEx>
        <w:trPr>
          <w:trHeight w:val="475" w:hRule="exact"/>
          <w:jc w:val="center"/>
        </w:trPr>
        <w:tc>
          <w:tcPr>
            <w:vMerge w:val="restart"/>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200" w:line="240" w:lineRule="auto"/>
              <w:ind w:left="0" w:right="0" w:firstLine="0"/>
              <w:jc w:val="center"/>
              <w:rPr>
                <w:b w:val="0"/>
                <w:bCs w:val="0"/>
              </w:rPr>
            </w:pPr>
            <w:r>
              <w:rPr>
                <w:b w:val="0"/>
                <w:bCs w:val="0"/>
                <w:color w:val="000000"/>
                <w:spacing w:val="0"/>
                <w:w w:val="100"/>
                <w:position w:val="0"/>
                <w:shd w:val="clear" w:color="auto" w:fill="auto"/>
              </w:rPr>
              <w:t>博士研究生</w:t>
            </w:r>
          </w:p>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学业奖学金</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一等奖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ascii="Times New Roman" w:hAnsi="Times New Roman" w:eastAsia="Times New Roman" w:cs="Times New Roman"/>
                <w:b w:val="0"/>
                <w:bCs w:val="0"/>
                <w:color w:val="000000"/>
                <w:spacing w:val="0"/>
                <w:w w:val="100"/>
                <w:position w:val="0"/>
                <w:sz w:val="24"/>
                <w:szCs w:val="24"/>
                <w:highlight w:val="none"/>
                <w:shd w:val="clear" w:color="auto" w:fill="auto"/>
              </w:rPr>
              <w:t>20%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18000</w:t>
            </w:r>
          </w:p>
        </w:tc>
      </w:tr>
      <w:tr>
        <w:tblPrEx>
          <w:tblCellMar>
            <w:top w:w="0" w:type="dxa"/>
            <w:left w:w="10" w:type="dxa"/>
            <w:bottom w:w="0" w:type="dxa"/>
            <w:right w:w="10" w:type="dxa"/>
          </w:tblCellMar>
        </w:tblPrEx>
        <w:trPr>
          <w:trHeight w:val="482"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二等奖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hint="eastAsia" w:ascii="Times New Roman" w:hAnsi="Times New Roman" w:eastAsia="宋体" w:cs="Times New Roman"/>
                <w:b w:val="0"/>
                <w:bCs w:val="0"/>
                <w:color w:val="000000"/>
                <w:spacing w:val="0"/>
                <w:w w:val="100"/>
                <w:position w:val="0"/>
                <w:sz w:val="24"/>
                <w:szCs w:val="24"/>
                <w:highlight w:val="none"/>
                <w:shd w:val="clear" w:color="auto" w:fill="auto"/>
                <w:lang w:val="en-US" w:eastAsia="zh-CN"/>
              </w:rPr>
              <w:t>3</w:t>
            </w:r>
            <w:r>
              <w:rPr>
                <w:rFonts w:ascii="Times New Roman" w:hAnsi="Times New Roman" w:eastAsia="Times New Roman" w:cs="Times New Roman"/>
                <w:b w:val="0"/>
                <w:bCs w:val="0"/>
                <w:color w:val="000000"/>
                <w:spacing w:val="0"/>
                <w:w w:val="100"/>
                <w:position w:val="0"/>
                <w:sz w:val="24"/>
                <w:szCs w:val="24"/>
                <w:highlight w:val="none"/>
                <w:shd w:val="clear" w:color="auto" w:fill="auto"/>
              </w:rPr>
              <w:t>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12000</w:t>
            </w:r>
          </w:p>
        </w:tc>
      </w:tr>
      <w:tr>
        <w:tblPrEx>
          <w:tblCellMar>
            <w:top w:w="0" w:type="dxa"/>
            <w:left w:w="10" w:type="dxa"/>
            <w:bottom w:w="0" w:type="dxa"/>
            <w:right w:w="10" w:type="dxa"/>
          </w:tblCellMar>
        </w:tblPrEx>
        <w:trPr>
          <w:trHeight w:val="468"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三等奖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hint="eastAsia" w:ascii="Times New Roman" w:hAnsi="Times New Roman" w:eastAsia="宋体" w:cs="Times New Roman"/>
                <w:b w:val="0"/>
                <w:bCs w:val="0"/>
                <w:color w:val="000000"/>
                <w:spacing w:val="0"/>
                <w:w w:val="100"/>
                <w:position w:val="0"/>
                <w:sz w:val="24"/>
                <w:szCs w:val="24"/>
                <w:highlight w:val="none"/>
                <w:shd w:val="clear" w:color="auto" w:fill="auto"/>
                <w:lang w:val="en-US" w:eastAsia="zh-CN"/>
              </w:rPr>
              <w:t>5</w:t>
            </w:r>
            <w:r>
              <w:rPr>
                <w:rFonts w:ascii="Times New Roman" w:hAnsi="Times New Roman" w:eastAsia="Times New Roman" w:cs="Times New Roman"/>
                <w:b w:val="0"/>
                <w:bCs w:val="0"/>
                <w:color w:val="000000"/>
                <w:spacing w:val="0"/>
                <w:w w:val="100"/>
                <w:position w:val="0"/>
                <w:sz w:val="24"/>
                <w:szCs w:val="24"/>
                <w:highlight w:val="none"/>
                <w:shd w:val="clear" w:color="auto" w:fill="auto"/>
              </w:rPr>
              <w:t>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9000</w:t>
            </w:r>
          </w:p>
        </w:tc>
      </w:tr>
      <w:tr>
        <w:tblPrEx>
          <w:tblCellMar>
            <w:top w:w="0" w:type="dxa"/>
            <w:left w:w="10" w:type="dxa"/>
            <w:bottom w:w="0" w:type="dxa"/>
            <w:right w:w="10" w:type="dxa"/>
          </w:tblCellMar>
        </w:tblPrEx>
        <w:trPr>
          <w:trHeight w:val="468" w:hRule="exact"/>
          <w:jc w:val="center"/>
        </w:trPr>
        <w:tc>
          <w:tcPr>
            <w:vMerge w:val="restart"/>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200" w:line="240" w:lineRule="auto"/>
              <w:ind w:left="0" w:right="0" w:firstLine="0"/>
              <w:jc w:val="center"/>
              <w:rPr>
                <w:b w:val="0"/>
                <w:bCs w:val="0"/>
              </w:rPr>
            </w:pPr>
            <w:r>
              <w:rPr>
                <w:b w:val="0"/>
                <w:bCs w:val="0"/>
                <w:color w:val="000000"/>
                <w:spacing w:val="0"/>
                <w:w w:val="100"/>
                <w:position w:val="0"/>
                <w:shd w:val="clear" w:color="auto" w:fill="auto"/>
              </w:rPr>
              <w:t>硕士研究生</w:t>
            </w:r>
          </w:p>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学业奖学金</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一等奖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ascii="Times New Roman" w:hAnsi="Times New Roman" w:eastAsia="Times New Roman" w:cs="Times New Roman"/>
                <w:b w:val="0"/>
                <w:bCs w:val="0"/>
                <w:color w:val="000000"/>
                <w:spacing w:val="0"/>
                <w:w w:val="100"/>
                <w:position w:val="0"/>
                <w:sz w:val="24"/>
                <w:szCs w:val="24"/>
                <w:highlight w:val="none"/>
                <w:shd w:val="clear" w:color="auto" w:fill="auto"/>
              </w:rPr>
              <w:t>20%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10000</w:t>
            </w:r>
          </w:p>
        </w:tc>
      </w:tr>
      <w:tr>
        <w:tblPrEx>
          <w:tblCellMar>
            <w:top w:w="0" w:type="dxa"/>
            <w:left w:w="10" w:type="dxa"/>
            <w:bottom w:w="0" w:type="dxa"/>
            <w:right w:w="10" w:type="dxa"/>
          </w:tblCellMar>
        </w:tblPrEx>
        <w:trPr>
          <w:trHeight w:val="479"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二等奖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hint="eastAsia" w:ascii="Times New Roman" w:hAnsi="Times New Roman" w:eastAsia="宋体" w:cs="Times New Roman"/>
                <w:b w:val="0"/>
                <w:bCs w:val="0"/>
                <w:color w:val="000000"/>
                <w:spacing w:val="0"/>
                <w:w w:val="100"/>
                <w:position w:val="0"/>
                <w:sz w:val="24"/>
                <w:szCs w:val="24"/>
                <w:highlight w:val="none"/>
                <w:shd w:val="clear" w:color="auto" w:fill="auto"/>
                <w:lang w:val="en-US" w:eastAsia="zh-CN"/>
              </w:rPr>
              <w:t>3</w:t>
            </w:r>
            <w:r>
              <w:rPr>
                <w:rFonts w:ascii="Times New Roman" w:hAnsi="Times New Roman" w:eastAsia="Times New Roman" w:cs="Times New Roman"/>
                <w:b w:val="0"/>
                <w:bCs w:val="0"/>
                <w:color w:val="000000"/>
                <w:spacing w:val="0"/>
                <w:w w:val="100"/>
                <w:position w:val="0"/>
                <w:sz w:val="24"/>
                <w:szCs w:val="24"/>
                <w:highlight w:val="none"/>
                <w:shd w:val="clear" w:color="auto" w:fill="auto"/>
              </w:rPr>
              <w:t>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6000</w:t>
            </w:r>
          </w:p>
        </w:tc>
      </w:tr>
      <w:tr>
        <w:tblPrEx>
          <w:tblCellMar>
            <w:top w:w="0" w:type="dxa"/>
            <w:left w:w="10" w:type="dxa"/>
            <w:bottom w:w="0" w:type="dxa"/>
            <w:right w:w="10" w:type="dxa"/>
          </w:tblCellMar>
        </w:tblPrEx>
        <w:trPr>
          <w:trHeight w:val="493" w:hRule="exact"/>
          <w:jc w:val="center"/>
        </w:trPr>
        <w:tc>
          <w:tcPr>
            <w:vMerge w:val="continue"/>
            <w:tcBorders>
              <w:left w:val="single" w:color="auto" w:sz="4" w:space="0"/>
              <w:bottom w:val="single" w:color="auto" w:sz="4" w:space="0"/>
            </w:tcBorders>
            <w:shd w:val="clear" w:color="auto" w:fill="FFFFFF"/>
            <w:vAlign w:val="center"/>
          </w:tcPr>
          <w:p>
            <w:pPr>
              <w:rPr>
                <w:b w:val="0"/>
                <w:bCs w:val="0"/>
              </w:rPr>
            </w:pPr>
          </w:p>
        </w:tc>
        <w:tc>
          <w:tcPr>
            <w:tcBorders>
              <w:top w:val="single" w:color="auto" w:sz="4" w:space="0"/>
              <w:left w:val="single" w:color="auto" w:sz="4" w:space="0"/>
              <w:bottom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三等奖</w:t>
            </w:r>
          </w:p>
        </w:tc>
        <w:tc>
          <w:tcPr>
            <w:tcBorders>
              <w:top w:val="single" w:color="auto" w:sz="4" w:space="0"/>
              <w:left w:val="single" w:color="auto" w:sz="4" w:space="0"/>
              <w:bottom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hint="eastAsia" w:ascii="Times New Roman" w:hAnsi="Times New Roman" w:eastAsia="宋体" w:cs="Times New Roman"/>
                <w:b w:val="0"/>
                <w:bCs w:val="0"/>
                <w:color w:val="000000"/>
                <w:spacing w:val="0"/>
                <w:w w:val="100"/>
                <w:position w:val="0"/>
                <w:sz w:val="24"/>
                <w:szCs w:val="24"/>
                <w:highlight w:val="none"/>
                <w:shd w:val="clear" w:color="auto" w:fill="auto"/>
                <w:lang w:val="en-US" w:eastAsia="zh-CN"/>
              </w:rPr>
              <w:t>5</w:t>
            </w:r>
            <w:r>
              <w:rPr>
                <w:rFonts w:ascii="Times New Roman" w:hAnsi="Times New Roman" w:eastAsia="Times New Roman" w:cs="Times New Roman"/>
                <w:b w:val="0"/>
                <w:bCs w:val="0"/>
                <w:color w:val="000000"/>
                <w:spacing w:val="0"/>
                <w:w w:val="100"/>
                <w:position w:val="0"/>
                <w:sz w:val="24"/>
                <w:szCs w:val="24"/>
                <w:highlight w:val="none"/>
                <w:shd w:val="clear" w:color="auto" w:fill="auto"/>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3000</w:t>
            </w:r>
          </w:p>
        </w:tc>
      </w:tr>
    </w:tbl>
    <w:p>
      <w:pPr>
        <w:pStyle w:val="15"/>
        <w:keepNext w:val="0"/>
        <w:keepLines w:val="0"/>
        <w:widowControl w:val="0"/>
        <w:shd w:val="clear" w:color="auto" w:fill="auto"/>
        <w:bidi w:val="0"/>
        <w:spacing w:before="0" w:after="0" w:line="240" w:lineRule="auto"/>
        <w:ind w:left="0" w:right="0" w:firstLine="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、定向研究生的奖学金类别、等级与比例如下:</w:t>
      </w:r>
    </w:p>
    <w:tbl>
      <w:tblPr>
        <w:tblStyle w:val="2"/>
        <w:tblW w:w="0" w:type="auto"/>
        <w:jc w:val="center"/>
        <w:tblLayout w:type="fixed"/>
        <w:tblCellMar>
          <w:top w:w="0" w:type="dxa"/>
          <w:left w:w="10" w:type="dxa"/>
          <w:bottom w:w="0" w:type="dxa"/>
          <w:right w:w="10" w:type="dxa"/>
        </w:tblCellMar>
      </w:tblPr>
      <w:tblGrid>
        <w:gridCol w:w="2246"/>
        <w:gridCol w:w="2297"/>
        <w:gridCol w:w="2369"/>
      </w:tblGrid>
      <w:tr>
        <w:tblPrEx>
          <w:tblCellMar>
            <w:top w:w="0" w:type="dxa"/>
            <w:left w:w="10" w:type="dxa"/>
            <w:bottom w:w="0" w:type="dxa"/>
            <w:right w:w="10" w:type="dxa"/>
          </w:tblCellMar>
        </w:tblPrEx>
        <w:trPr>
          <w:trHeight w:val="587" w:hRule="exact"/>
          <w:jc w:val="center"/>
        </w:trPr>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类别</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等级</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比例</w:t>
            </w:r>
          </w:p>
        </w:tc>
      </w:tr>
      <w:tr>
        <w:tblPrEx>
          <w:tblCellMar>
            <w:top w:w="0" w:type="dxa"/>
            <w:left w:w="10" w:type="dxa"/>
            <w:bottom w:w="0" w:type="dxa"/>
            <w:right w:w="10" w:type="dxa"/>
          </w:tblCellMar>
        </w:tblPrEx>
        <w:trPr>
          <w:trHeight w:val="482" w:hRule="exact"/>
          <w:jc w:val="center"/>
        </w:trPr>
        <w:tc>
          <w:tcPr>
            <w:vMerge w:val="restart"/>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200" w:line="240" w:lineRule="auto"/>
              <w:ind w:left="0" w:right="0" w:firstLine="0"/>
              <w:jc w:val="center"/>
              <w:rPr>
                <w:b w:val="0"/>
                <w:bCs w:val="0"/>
              </w:rPr>
            </w:pPr>
            <w:r>
              <w:rPr>
                <w:b w:val="0"/>
                <w:bCs w:val="0"/>
                <w:color w:val="000000"/>
                <w:spacing w:val="0"/>
                <w:w w:val="100"/>
                <w:position w:val="0"/>
                <w:shd w:val="clear" w:color="auto" w:fill="auto"/>
              </w:rPr>
              <w:t>博士研究生</w:t>
            </w:r>
          </w:p>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学业奖学金</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一等奖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20%</w:t>
            </w:r>
          </w:p>
        </w:tc>
      </w:tr>
      <w:tr>
        <w:tblPrEx>
          <w:tblCellMar>
            <w:top w:w="0" w:type="dxa"/>
            <w:left w:w="10" w:type="dxa"/>
            <w:bottom w:w="0" w:type="dxa"/>
            <w:right w:w="10" w:type="dxa"/>
          </w:tblCellMar>
        </w:tblPrEx>
        <w:trPr>
          <w:trHeight w:val="493"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二等奖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3</w:t>
            </w:r>
            <w:r>
              <w:rPr>
                <w:rFonts w:ascii="Times New Roman" w:hAnsi="Times New Roman" w:eastAsia="Times New Roman" w:cs="Times New Roman"/>
                <w:b w:val="0"/>
                <w:bCs w:val="0"/>
                <w:color w:val="000000"/>
                <w:spacing w:val="0"/>
                <w:w w:val="100"/>
                <w:position w:val="0"/>
                <w:sz w:val="24"/>
                <w:szCs w:val="24"/>
                <w:shd w:val="clear" w:color="auto" w:fill="auto"/>
              </w:rPr>
              <w:t>0%</w:t>
            </w:r>
          </w:p>
        </w:tc>
      </w:tr>
      <w:tr>
        <w:tblPrEx>
          <w:tblCellMar>
            <w:top w:w="0" w:type="dxa"/>
            <w:left w:w="10" w:type="dxa"/>
            <w:bottom w:w="0" w:type="dxa"/>
            <w:right w:w="10" w:type="dxa"/>
          </w:tblCellMar>
        </w:tblPrEx>
        <w:trPr>
          <w:trHeight w:val="464"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三等奖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5</w:t>
            </w:r>
            <w:r>
              <w:rPr>
                <w:rFonts w:ascii="Times New Roman" w:hAnsi="Times New Roman" w:eastAsia="Times New Roman" w:cs="Times New Roman"/>
                <w:b w:val="0"/>
                <w:bCs w:val="0"/>
                <w:color w:val="000000"/>
                <w:spacing w:val="0"/>
                <w:w w:val="100"/>
                <w:position w:val="0"/>
                <w:sz w:val="24"/>
                <w:szCs w:val="24"/>
                <w:shd w:val="clear" w:color="auto" w:fill="auto"/>
              </w:rPr>
              <w:t>0%</w:t>
            </w:r>
          </w:p>
        </w:tc>
      </w:tr>
      <w:tr>
        <w:tblPrEx>
          <w:tblCellMar>
            <w:top w:w="0" w:type="dxa"/>
            <w:left w:w="10" w:type="dxa"/>
            <w:bottom w:w="0" w:type="dxa"/>
            <w:right w:w="10" w:type="dxa"/>
          </w:tblCellMar>
        </w:tblPrEx>
        <w:trPr>
          <w:trHeight w:val="479" w:hRule="exact"/>
          <w:jc w:val="center"/>
        </w:trPr>
        <w:tc>
          <w:tcPr>
            <w:vMerge w:val="restart"/>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200" w:line="240" w:lineRule="auto"/>
              <w:ind w:left="0" w:right="0" w:firstLine="0"/>
              <w:jc w:val="center"/>
              <w:rPr>
                <w:b w:val="0"/>
                <w:bCs w:val="0"/>
              </w:rPr>
            </w:pPr>
            <w:r>
              <w:rPr>
                <w:b w:val="0"/>
                <w:bCs w:val="0"/>
                <w:color w:val="000000"/>
                <w:spacing w:val="0"/>
                <w:w w:val="100"/>
                <w:position w:val="0"/>
                <w:shd w:val="clear" w:color="auto" w:fill="auto"/>
              </w:rPr>
              <w:t>硕士研究生</w:t>
            </w:r>
          </w:p>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学业奖学金</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一等奖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20%</w:t>
            </w:r>
          </w:p>
        </w:tc>
      </w:tr>
      <w:tr>
        <w:tblPrEx>
          <w:tblCellMar>
            <w:top w:w="0" w:type="dxa"/>
            <w:left w:w="10" w:type="dxa"/>
            <w:bottom w:w="0" w:type="dxa"/>
            <w:right w:w="10" w:type="dxa"/>
          </w:tblCellMar>
        </w:tblPrEx>
        <w:trPr>
          <w:trHeight w:val="468"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二等奖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3</w:t>
            </w:r>
            <w:r>
              <w:rPr>
                <w:rFonts w:ascii="Times New Roman" w:hAnsi="Times New Roman" w:eastAsia="Times New Roman" w:cs="Times New Roman"/>
                <w:b w:val="0"/>
                <w:bCs w:val="0"/>
                <w:color w:val="000000"/>
                <w:spacing w:val="0"/>
                <w:w w:val="100"/>
                <w:position w:val="0"/>
                <w:sz w:val="24"/>
                <w:szCs w:val="24"/>
                <w:shd w:val="clear" w:color="auto" w:fill="auto"/>
              </w:rPr>
              <w:t>0%</w:t>
            </w:r>
          </w:p>
        </w:tc>
      </w:tr>
      <w:tr>
        <w:tblPrEx>
          <w:tblCellMar>
            <w:top w:w="0" w:type="dxa"/>
            <w:left w:w="10" w:type="dxa"/>
            <w:bottom w:w="0" w:type="dxa"/>
            <w:right w:w="10" w:type="dxa"/>
          </w:tblCellMar>
        </w:tblPrEx>
        <w:trPr>
          <w:trHeight w:val="482" w:hRule="exact"/>
          <w:jc w:val="center"/>
        </w:trPr>
        <w:tc>
          <w:tcPr>
            <w:vMerge w:val="continue"/>
            <w:tcBorders>
              <w:left w:val="single" w:color="auto" w:sz="4" w:space="0"/>
              <w:bottom w:val="single" w:color="auto" w:sz="4" w:space="0"/>
            </w:tcBorders>
            <w:shd w:val="clear" w:color="auto" w:fill="FFFFFF"/>
            <w:vAlign w:val="center"/>
          </w:tcPr>
          <w:p>
            <w:pPr>
              <w:rPr>
                <w:b w:val="0"/>
                <w:bCs w:val="0"/>
              </w:rPr>
            </w:pPr>
          </w:p>
        </w:tc>
        <w:tc>
          <w:tcPr>
            <w:tcBorders>
              <w:top w:val="single" w:color="auto" w:sz="4" w:space="0"/>
              <w:left w:val="single" w:color="auto" w:sz="4" w:space="0"/>
              <w:bottom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三等奖</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5</w:t>
            </w:r>
            <w:r>
              <w:rPr>
                <w:rFonts w:ascii="Times New Roman" w:hAnsi="Times New Roman" w:eastAsia="Times New Roman" w:cs="Times New Roman"/>
                <w:b w:val="0"/>
                <w:bCs w:val="0"/>
                <w:color w:val="000000"/>
                <w:spacing w:val="0"/>
                <w:w w:val="100"/>
                <w:position w:val="0"/>
                <w:sz w:val="24"/>
                <w:szCs w:val="24"/>
                <w:shd w:val="clear" w:color="auto" w:fill="auto"/>
              </w:rPr>
              <w:t>0%</w:t>
            </w:r>
          </w:p>
        </w:tc>
      </w:tr>
    </w:tbl>
    <w:p>
      <w:pPr>
        <w:pStyle w:val="15"/>
        <w:keepNext w:val="0"/>
        <w:keepLines w:val="0"/>
        <w:widowControl w:val="0"/>
        <w:shd w:val="clear" w:color="auto" w:fill="auto"/>
        <w:bidi w:val="0"/>
        <w:spacing w:before="0" w:after="0" w:line="468" w:lineRule="exact"/>
        <w:ind w:left="0" w:right="0" w:firstLine="0"/>
        <w:jc w:val="distribute"/>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4</w:t>
      </w:r>
      <w:r>
        <w:rPr>
          <w:b w:val="0"/>
          <w:bCs w:val="0"/>
          <w:color w:val="000000"/>
          <w:spacing w:val="0"/>
          <w:w w:val="100"/>
          <w:position w:val="0"/>
          <w:shd w:val="clear" w:color="auto" w:fill="auto"/>
        </w:rPr>
        <w:t>、申请一等奖学金未达到</w:t>
      </w:r>
      <w:r>
        <w:rPr>
          <w:rFonts w:ascii="Times New Roman" w:hAnsi="Times New Roman" w:eastAsia="Times New Roman" w:cs="Times New Roman"/>
          <w:b w:val="0"/>
          <w:bCs w:val="0"/>
          <w:color w:val="000000"/>
          <w:spacing w:val="0"/>
          <w:w w:val="100"/>
          <w:position w:val="0"/>
          <w:sz w:val="24"/>
          <w:szCs w:val="24"/>
          <w:shd w:val="clear" w:color="auto" w:fill="auto"/>
        </w:rPr>
        <w:t>20%</w:t>
      </w:r>
      <w:r>
        <w:rPr>
          <w:b w:val="0"/>
          <w:bCs w:val="0"/>
          <w:color w:val="000000"/>
          <w:spacing w:val="0"/>
          <w:w w:val="100"/>
          <w:position w:val="0"/>
          <w:shd w:val="clear" w:color="auto" w:fill="auto"/>
        </w:rPr>
        <w:t>的，该等级剩余指标增加至二等奖学金的指标比例中，即获得一等奖学金名额不超过总名额的</w:t>
      </w:r>
      <w:r>
        <w:rPr>
          <w:rFonts w:ascii="Times New Roman" w:hAnsi="Times New Roman" w:eastAsia="Times New Roman" w:cs="Times New Roman"/>
          <w:b w:val="0"/>
          <w:bCs w:val="0"/>
          <w:color w:val="000000"/>
          <w:spacing w:val="0"/>
          <w:w w:val="100"/>
          <w:position w:val="0"/>
          <w:sz w:val="24"/>
          <w:szCs w:val="24"/>
          <w:shd w:val="clear" w:color="auto" w:fill="auto"/>
        </w:rPr>
        <w:t>20%,</w:t>
      </w:r>
      <w:r>
        <w:rPr>
          <w:b w:val="0"/>
          <w:bCs w:val="0"/>
          <w:color w:val="000000"/>
          <w:spacing w:val="0"/>
          <w:w w:val="100"/>
          <w:position w:val="0"/>
          <w:shd w:val="clear" w:color="auto" w:fill="auto"/>
        </w:rPr>
        <w:t>二等奖学金不超过</w:t>
      </w:r>
      <w:r>
        <w:rPr>
          <w:rFonts w:ascii="Times New Roman" w:hAnsi="Times New Roman" w:eastAsia="Times New Roman" w:cs="Times New Roman"/>
          <w:b w:val="0"/>
          <w:bCs w:val="0"/>
          <w:color w:val="000000"/>
          <w:spacing w:val="0"/>
          <w:w w:val="100"/>
          <w:position w:val="0"/>
          <w:sz w:val="24"/>
          <w:szCs w:val="24"/>
          <w:shd w:val="clear" w:color="auto" w:fill="auto"/>
        </w:rPr>
        <w:t>50%</w:t>
      </w:r>
      <w:r>
        <w:rPr>
          <w:b w:val="0"/>
          <w:bCs w:val="0"/>
          <w:color w:val="000000"/>
          <w:spacing w:val="0"/>
          <w:w w:val="100"/>
          <w:position w:val="0"/>
          <w:shd w:val="clear" w:color="auto" w:fill="auto"/>
        </w:rPr>
        <w:t>。</w:t>
      </w:r>
    </w:p>
    <w:p>
      <w:pPr>
        <w:widowControl w:val="0"/>
        <w:spacing w:after="239" w:line="1" w:lineRule="exact"/>
        <w:rPr>
          <w:b w:val="0"/>
          <w:bCs w:val="0"/>
        </w:rPr>
      </w:pPr>
    </w:p>
    <w:p>
      <w:pPr>
        <w:pStyle w:val="11"/>
        <w:keepNext/>
        <w:keepLines/>
        <w:widowControl w:val="0"/>
        <w:shd w:val="clear" w:color="auto" w:fill="auto"/>
        <w:bidi w:val="0"/>
        <w:spacing w:before="0" w:after="380" w:line="240" w:lineRule="auto"/>
        <w:ind w:left="0" w:right="0" w:firstLine="0"/>
        <w:jc w:val="center"/>
        <w:rPr>
          <w:b w:val="0"/>
          <w:bCs w:val="0"/>
        </w:rPr>
      </w:pPr>
      <w:bookmarkStart w:id="8" w:name="bookmark9"/>
      <w:bookmarkStart w:id="9" w:name="bookmark8"/>
      <w:r>
        <w:rPr>
          <w:b w:val="0"/>
          <w:bCs w:val="0"/>
          <w:color w:val="000000"/>
          <w:spacing w:val="0"/>
          <w:w w:val="100"/>
          <w:position w:val="0"/>
          <w:shd w:val="clear" w:color="auto" w:fill="auto"/>
        </w:rPr>
        <w:t>第三章评选对象和申请条件</w:t>
      </w:r>
      <w:bookmarkEnd w:id="8"/>
      <w:bookmarkEnd w:id="9"/>
    </w:p>
    <w:p>
      <w:pPr>
        <w:pStyle w:val="13"/>
        <w:keepNext w:val="0"/>
        <w:keepLines w:val="0"/>
        <w:widowControl w:val="0"/>
        <w:shd w:val="clear" w:color="auto" w:fill="auto"/>
        <w:bidi w:val="0"/>
        <w:spacing w:before="0" w:after="180" w:line="240" w:lineRule="auto"/>
        <w:ind w:left="0" w:right="0" w:firstLine="480"/>
        <w:jc w:val="left"/>
        <w:rPr>
          <w:b w:val="0"/>
          <w:bCs w:val="0"/>
        </w:rPr>
      </w:pPr>
      <w:r>
        <w:rPr>
          <w:b w:val="0"/>
          <w:bCs w:val="0"/>
          <w:color w:val="000000"/>
          <w:spacing w:val="0"/>
          <w:w w:val="100"/>
          <w:position w:val="0"/>
          <w:shd w:val="clear" w:color="auto" w:fill="auto"/>
        </w:rPr>
        <w:t>第四条评选对象</w:t>
      </w:r>
    </w:p>
    <w:p>
      <w:pPr>
        <w:pStyle w:val="13"/>
        <w:keepNext w:val="0"/>
        <w:keepLines w:val="0"/>
        <w:widowControl w:val="0"/>
        <w:shd w:val="clear" w:color="auto" w:fill="auto"/>
        <w:bidi w:val="0"/>
        <w:spacing w:before="0" w:after="240" w:line="240" w:lineRule="auto"/>
        <w:ind w:left="0" w:right="0" w:firstLine="480"/>
        <w:jc w:val="left"/>
        <w:rPr>
          <w:b w:val="0"/>
          <w:bCs w:val="0"/>
        </w:rPr>
      </w:pPr>
      <w:r>
        <w:rPr>
          <w:b w:val="0"/>
          <w:bCs w:val="0"/>
          <w:color w:val="000000"/>
          <w:spacing w:val="0"/>
          <w:w w:val="100"/>
          <w:position w:val="0"/>
          <w:shd w:val="clear" w:color="auto" w:fill="auto"/>
        </w:rPr>
        <w:t>正常学制内的全日制研究生新生（外国留学生、港澳台学生除外）。</w:t>
      </w:r>
    </w:p>
    <w:p>
      <w:pPr>
        <w:pStyle w:val="13"/>
        <w:keepNext w:val="0"/>
        <w:keepLines w:val="0"/>
        <w:widowControl w:val="0"/>
        <w:shd w:val="clear" w:color="auto" w:fill="auto"/>
        <w:bidi w:val="0"/>
        <w:spacing w:before="0" w:after="180" w:line="240" w:lineRule="auto"/>
        <w:ind w:left="0" w:right="0" w:firstLine="480"/>
        <w:jc w:val="left"/>
        <w:rPr>
          <w:b w:val="0"/>
          <w:bCs w:val="0"/>
        </w:rPr>
      </w:pPr>
      <w:r>
        <w:rPr>
          <w:b w:val="0"/>
          <w:bCs w:val="0"/>
          <w:color w:val="000000"/>
          <w:spacing w:val="0"/>
          <w:w w:val="100"/>
          <w:position w:val="0"/>
          <w:shd w:val="clear" w:color="auto" w:fill="auto"/>
        </w:rPr>
        <w:t>第五条基本申请条件</w:t>
      </w:r>
    </w:p>
    <w:p>
      <w:pPr>
        <w:pStyle w:val="13"/>
        <w:keepNext w:val="0"/>
        <w:keepLines w:val="0"/>
        <w:widowControl w:val="0"/>
        <w:shd w:val="clear" w:color="auto" w:fill="auto"/>
        <w:tabs>
          <w:tab w:val="left" w:pos="860"/>
        </w:tabs>
        <w:bidi w:val="0"/>
        <w:spacing w:before="0" w:after="180" w:line="240"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热爱社会主义祖国，拥护中国共产党的领导：</w:t>
      </w:r>
    </w:p>
    <w:p>
      <w:pPr>
        <w:pStyle w:val="13"/>
        <w:keepNext w:val="0"/>
        <w:keepLines w:val="0"/>
        <w:widowControl w:val="0"/>
        <w:shd w:val="clear" w:color="auto" w:fill="auto"/>
        <w:tabs>
          <w:tab w:val="left" w:pos="882"/>
        </w:tabs>
        <w:bidi w:val="0"/>
        <w:spacing w:before="0" w:after="180" w:line="240"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遵守宪法和法律，遵守学校规章制度；</w:t>
      </w:r>
    </w:p>
    <w:p>
      <w:pPr>
        <w:pStyle w:val="13"/>
        <w:keepNext w:val="0"/>
        <w:keepLines w:val="0"/>
        <w:widowControl w:val="0"/>
        <w:shd w:val="clear" w:color="auto" w:fill="auto"/>
        <w:tabs>
          <w:tab w:val="left" w:pos="882"/>
        </w:tabs>
        <w:bidi w:val="0"/>
        <w:spacing w:before="0" w:after="180" w:line="240"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诚实守信，品学兼优；</w:t>
      </w:r>
    </w:p>
    <w:p>
      <w:pPr>
        <w:pStyle w:val="13"/>
        <w:keepNext w:val="0"/>
        <w:keepLines w:val="0"/>
        <w:widowControl w:val="0"/>
        <w:shd w:val="clear" w:color="auto" w:fill="auto"/>
        <w:tabs>
          <w:tab w:val="left" w:pos="885"/>
        </w:tabs>
        <w:bidi w:val="0"/>
        <w:spacing w:before="0" w:after="180" w:line="240"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4</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积极参与科学研究和社会实践。</w:t>
      </w:r>
    </w:p>
    <w:p>
      <w:pPr>
        <w:pStyle w:val="13"/>
        <w:keepNext w:val="0"/>
        <w:keepLines w:val="0"/>
        <w:widowControl w:val="0"/>
        <w:shd w:val="clear" w:color="auto" w:fill="auto"/>
        <w:bidi w:val="0"/>
        <w:spacing w:before="0" w:after="180" w:line="240" w:lineRule="auto"/>
        <w:ind w:left="0" w:right="0" w:firstLine="480"/>
        <w:jc w:val="left"/>
        <w:rPr>
          <w:b w:val="0"/>
          <w:bCs w:val="0"/>
          <w:highlight w:val="none"/>
        </w:rPr>
      </w:pPr>
      <w:r>
        <w:rPr>
          <w:b w:val="0"/>
          <w:bCs w:val="0"/>
          <w:color w:val="000000"/>
          <w:spacing w:val="0"/>
          <w:w w:val="100"/>
          <w:position w:val="0"/>
          <w:highlight w:val="none"/>
          <w:shd w:val="clear" w:color="auto" w:fill="auto"/>
        </w:rPr>
        <w:t>第六条优先申报条件</w:t>
      </w:r>
    </w:p>
    <w:p>
      <w:pPr>
        <w:pStyle w:val="13"/>
        <w:keepNext w:val="0"/>
        <w:keepLines w:val="0"/>
        <w:widowControl w:val="0"/>
        <w:shd w:val="clear" w:color="auto" w:fill="auto"/>
        <w:bidi w:val="0"/>
        <w:spacing w:before="0" w:after="240" w:line="240" w:lineRule="auto"/>
        <w:ind w:left="0" w:right="0" w:firstLine="480"/>
        <w:jc w:val="left"/>
        <w:rPr>
          <w:b w:val="0"/>
          <w:bCs w:val="0"/>
          <w:highlight w:val="none"/>
        </w:rPr>
      </w:pPr>
      <w:r>
        <w:rPr>
          <w:rFonts w:ascii="Times New Roman" w:hAnsi="Times New Roman" w:eastAsia="Times New Roman" w:cs="Times New Roman"/>
          <w:b w:val="0"/>
          <w:bCs w:val="0"/>
          <w:color w:val="000000"/>
          <w:spacing w:val="0"/>
          <w:w w:val="100"/>
          <w:position w:val="0"/>
          <w:sz w:val="24"/>
          <w:szCs w:val="24"/>
          <w:highlight w:val="none"/>
          <w:shd w:val="clear" w:color="auto" w:fill="auto"/>
        </w:rPr>
        <w:t>1</w:t>
      </w:r>
      <w:r>
        <w:rPr>
          <w:b w:val="0"/>
          <w:bCs w:val="0"/>
          <w:color w:val="000000"/>
          <w:spacing w:val="0"/>
          <w:w w:val="100"/>
          <w:position w:val="0"/>
          <w:highlight w:val="none"/>
          <w:shd w:val="clear" w:color="auto" w:fill="auto"/>
        </w:rPr>
        <w:t>、一等学业奖学金</w:t>
      </w:r>
    </w:p>
    <w:p>
      <w:pPr>
        <w:pStyle w:val="13"/>
        <w:keepNext w:val="0"/>
        <w:keepLines w:val="0"/>
        <w:widowControl w:val="0"/>
        <w:shd w:val="clear" w:color="auto" w:fill="auto"/>
        <w:tabs>
          <w:tab w:val="left" w:pos="1131"/>
        </w:tabs>
        <w:bidi w:val="0"/>
        <w:spacing w:before="0" w:after="180" w:line="240" w:lineRule="auto"/>
        <w:ind w:left="0" w:right="0" w:firstLine="600"/>
        <w:jc w:val="both"/>
        <w:rPr>
          <w:b w:val="0"/>
          <w:bCs w:val="0"/>
          <w:highlight w:val="none"/>
        </w:rPr>
      </w:pPr>
      <w:r>
        <w:rPr>
          <w:rFonts w:hint="eastAsia" w:asciiTheme="minorEastAsia" w:hAnsiTheme="minorEastAsia" w:eastAsiaTheme="minorEastAsia" w:cstheme="minorEastAsia"/>
          <w:b w:val="0"/>
          <w:bCs w:val="0"/>
          <w:color w:val="000000"/>
          <w:spacing w:val="0"/>
          <w:w w:val="100"/>
          <w:position w:val="0"/>
          <w:sz w:val="24"/>
          <w:szCs w:val="24"/>
          <w:highlight w:val="none"/>
          <w:shd w:val="clear" w:color="auto" w:fill="auto"/>
        </w:rPr>
        <w:t>（1）</w:t>
      </w:r>
      <w:r>
        <w:rPr>
          <w:b w:val="0"/>
          <w:bCs w:val="0"/>
          <w:color w:val="000000"/>
          <w:spacing w:val="0"/>
          <w:w w:val="100"/>
          <w:position w:val="0"/>
          <w:highlight w:val="none"/>
          <w:shd w:val="clear" w:color="auto" w:fill="auto"/>
        </w:rPr>
        <w:t>博士生新生具备以下条件之一者优先申报：</w:t>
      </w:r>
    </w:p>
    <w:p>
      <w:pPr>
        <w:pStyle w:val="13"/>
        <w:keepNext w:val="0"/>
        <w:keepLines w:val="0"/>
        <w:widowControl w:val="0"/>
        <w:numPr>
          <w:ilvl w:val="0"/>
          <w:numId w:val="0"/>
        </w:numPr>
        <w:shd w:val="clear" w:color="auto" w:fill="auto"/>
        <w:tabs>
          <w:tab w:val="left" w:pos="907"/>
        </w:tabs>
        <w:bidi w:val="0"/>
        <w:spacing w:before="0" w:after="180" w:line="240" w:lineRule="auto"/>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①</w:t>
      </w:r>
      <w:r>
        <w:rPr>
          <w:b w:val="0"/>
          <w:bCs w:val="0"/>
          <w:color w:val="000000"/>
          <w:spacing w:val="0"/>
          <w:w w:val="100"/>
          <w:position w:val="0"/>
          <w:highlight w:val="none"/>
          <w:shd w:val="clear" w:color="auto" w:fill="auto"/>
        </w:rPr>
        <w:t>科研能力强，在本学科领域取得高水平学术成果。在北大中文核心期刊、</w:t>
      </w:r>
    </w:p>
    <w:p>
      <w:pPr>
        <w:pStyle w:val="13"/>
        <w:keepNext w:val="0"/>
        <w:keepLines w:val="0"/>
        <w:widowControl w:val="0"/>
        <w:shd w:val="clear" w:color="auto" w:fill="auto"/>
        <w:bidi w:val="0"/>
        <w:spacing w:before="0" w:after="180" w:line="240" w:lineRule="auto"/>
        <w:ind w:left="0" w:right="0" w:firstLine="0"/>
        <w:jc w:val="left"/>
        <w:rPr>
          <w:b w:val="0"/>
          <w:bCs w:val="0"/>
          <w:highlight w:val="none"/>
        </w:rPr>
      </w:pPr>
      <w:r>
        <w:rPr>
          <w:rFonts w:ascii="Times New Roman" w:hAnsi="Times New Roman" w:eastAsia="Times New Roman" w:cs="Times New Roman"/>
          <w:b w:val="0"/>
          <w:bCs w:val="0"/>
          <w:color w:val="000000"/>
          <w:spacing w:val="0"/>
          <w:w w:val="100"/>
          <w:position w:val="0"/>
          <w:sz w:val="24"/>
          <w:szCs w:val="24"/>
          <w:highlight w:val="none"/>
          <w:shd w:val="clear" w:color="auto" w:fill="auto"/>
          <w:lang w:val="en-US" w:eastAsia="en-US" w:bidi="en-US"/>
        </w:rPr>
        <w:t>CSSCI</w:t>
      </w:r>
      <w:r>
        <w:rPr>
          <w:b w:val="0"/>
          <w:bCs w:val="0"/>
          <w:color w:val="000000"/>
          <w:spacing w:val="0"/>
          <w:w w:val="100"/>
          <w:position w:val="0"/>
          <w:highlight w:val="none"/>
          <w:shd w:val="clear" w:color="auto" w:fill="auto"/>
        </w:rPr>
        <w:t>期刊、高水平外文期刊发表与本专业相关的学术论文；</w:t>
      </w:r>
    </w:p>
    <w:p>
      <w:pPr>
        <w:pStyle w:val="13"/>
        <w:keepNext w:val="0"/>
        <w:keepLines w:val="0"/>
        <w:widowControl w:val="0"/>
        <w:numPr>
          <w:ilvl w:val="0"/>
          <w:numId w:val="0"/>
        </w:numPr>
        <w:shd w:val="clear" w:color="auto" w:fill="auto"/>
        <w:tabs>
          <w:tab w:val="left" w:pos="907"/>
        </w:tabs>
        <w:bidi w:val="0"/>
        <w:spacing w:before="0" w:after="180" w:line="240" w:lineRule="auto"/>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②</w:t>
      </w:r>
      <w:r>
        <w:rPr>
          <w:b w:val="0"/>
          <w:bCs w:val="0"/>
          <w:color w:val="000000"/>
          <w:spacing w:val="0"/>
          <w:w w:val="100"/>
          <w:position w:val="0"/>
          <w:highlight w:val="none"/>
          <w:shd w:val="clear" w:color="auto" w:fill="auto"/>
        </w:rPr>
        <w:t>有创新能力，获得国家发明专利或在省级以上学科竞赛中获奖；</w:t>
      </w:r>
    </w:p>
    <w:p>
      <w:pPr>
        <w:pStyle w:val="13"/>
        <w:keepNext w:val="0"/>
        <w:keepLines w:val="0"/>
        <w:widowControl w:val="0"/>
        <w:numPr>
          <w:ilvl w:val="0"/>
          <w:numId w:val="0"/>
        </w:numPr>
        <w:shd w:val="clear" w:color="auto" w:fill="auto"/>
        <w:tabs>
          <w:tab w:val="left" w:pos="907"/>
        </w:tabs>
        <w:bidi w:val="0"/>
        <w:spacing w:before="0" w:after="180" w:line="240" w:lineRule="auto"/>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③</w:t>
      </w:r>
      <w:r>
        <w:rPr>
          <w:b w:val="0"/>
          <w:bCs w:val="0"/>
          <w:color w:val="000000"/>
          <w:spacing w:val="0"/>
          <w:w w:val="100"/>
          <w:position w:val="0"/>
          <w:highlight w:val="none"/>
          <w:shd w:val="clear" w:color="auto" w:fill="auto"/>
        </w:rPr>
        <w:t>硕博连读考生和申请审核制考生在硕士阶段学习成绩优异，获得校级以上</w:t>
      </w:r>
    </w:p>
    <w:p>
      <w:pPr>
        <w:pStyle w:val="13"/>
        <w:keepNext w:val="0"/>
        <w:keepLines w:val="0"/>
        <w:widowControl w:val="0"/>
        <w:shd w:val="clear" w:color="auto" w:fill="auto"/>
        <w:bidi w:val="0"/>
        <w:spacing w:before="0" w:after="180" w:line="240" w:lineRule="auto"/>
        <w:ind w:left="0" w:right="0" w:firstLine="140"/>
        <w:jc w:val="left"/>
        <w:rPr>
          <w:b w:val="0"/>
          <w:bCs w:val="0"/>
          <w:highlight w:val="none"/>
        </w:rPr>
      </w:pPr>
      <w:r>
        <w:rPr>
          <w:b w:val="0"/>
          <w:bCs w:val="0"/>
          <w:color w:val="000000"/>
          <w:spacing w:val="0"/>
          <w:w w:val="100"/>
          <w:position w:val="0"/>
          <w:highlight w:val="none"/>
          <w:shd w:val="clear" w:color="auto" w:fill="auto"/>
        </w:rPr>
        <w:t>（含校级）奖学金；</w:t>
      </w:r>
    </w:p>
    <w:p>
      <w:pPr>
        <w:pStyle w:val="13"/>
        <w:keepNext w:val="0"/>
        <w:keepLines w:val="0"/>
        <w:widowControl w:val="0"/>
        <w:numPr>
          <w:ilvl w:val="0"/>
          <w:numId w:val="0"/>
        </w:numPr>
        <w:shd w:val="clear" w:color="auto" w:fill="auto"/>
        <w:tabs>
          <w:tab w:val="left" w:pos="910"/>
        </w:tabs>
        <w:bidi w:val="0"/>
        <w:spacing w:before="0" w:after="180" w:line="240" w:lineRule="auto"/>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④</w:t>
      </w:r>
      <w:r>
        <w:rPr>
          <w:b w:val="0"/>
          <w:bCs w:val="0"/>
          <w:color w:val="000000"/>
          <w:spacing w:val="0"/>
          <w:w w:val="100"/>
          <w:position w:val="0"/>
          <w:highlight w:val="none"/>
          <w:shd w:val="clear" w:color="auto" w:fill="auto"/>
        </w:rPr>
        <w:t>获得校级以上（含校级）优秀硕士学位论文。</w:t>
      </w:r>
    </w:p>
    <w:p>
      <w:pPr>
        <w:pStyle w:val="13"/>
        <w:keepNext w:val="0"/>
        <w:keepLines w:val="0"/>
        <w:widowControl w:val="0"/>
        <w:shd w:val="clear" w:color="auto" w:fill="auto"/>
        <w:tabs>
          <w:tab w:val="left" w:pos="1131"/>
        </w:tabs>
        <w:bidi w:val="0"/>
        <w:spacing w:before="0" w:after="180" w:line="240" w:lineRule="auto"/>
        <w:ind w:left="0" w:right="0" w:firstLine="600"/>
        <w:jc w:val="both"/>
        <w:rPr>
          <w:b w:val="0"/>
          <w:bCs w:val="0"/>
          <w:highlight w:val="none"/>
        </w:rPr>
      </w:pPr>
      <w:r>
        <w:rPr>
          <w:rFonts w:hint="eastAsia" w:asciiTheme="minorEastAsia" w:hAnsiTheme="minorEastAsia" w:eastAsiaTheme="minorEastAsia" w:cstheme="minorEastAsia"/>
          <w:b w:val="0"/>
          <w:bCs w:val="0"/>
          <w:color w:val="000000"/>
          <w:spacing w:val="0"/>
          <w:w w:val="100"/>
          <w:position w:val="0"/>
          <w:sz w:val="24"/>
          <w:szCs w:val="24"/>
          <w:highlight w:val="none"/>
          <w:shd w:val="clear" w:color="auto" w:fill="auto"/>
        </w:rPr>
        <w:t>（2）</w:t>
      </w:r>
      <w:r>
        <w:rPr>
          <w:b w:val="0"/>
          <w:bCs w:val="0"/>
          <w:color w:val="000000"/>
          <w:spacing w:val="0"/>
          <w:w w:val="100"/>
          <w:position w:val="0"/>
          <w:highlight w:val="none"/>
          <w:shd w:val="clear" w:color="auto" w:fill="auto"/>
        </w:rPr>
        <w:t>硕士生新生具备以下条件之一者优先申报：</w:t>
      </w:r>
    </w:p>
    <w:p>
      <w:pPr>
        <w:pStyle w:val="13"/>
        <w:keepNext w:val="0"/>
        <w:keepLines w:val="0"/>
        <w:widowControl w:val="0"/>
        <w:numPr>
          <w:ilvl w:val="0"/>
          <w:numId w:val="0"/>
        </w:numPr>
        <w:shd w:val="clear" w:color="auto" w:fill="auto"/>
        <w:tabs>
          <w:tab w:val="left" w:pos="903"/>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①</w:t>
      </w:r>
      <w:r>
        <w:rPr>
          <w:b w:val="0"/>
          <w:bCs w:val="0"/>
          <w:color w:val="000000"/>
          <w:spacing w:val="0"/>
          <w:w w:val="100"/>
          <w:position w:val="0"/>
          <w:highlight w:val="none"/>
          <w:shd w:val="clear" w:color="auto" w:fill="auto"/>
        </w:rPr>
        <w:t>本科毕业于华南农业大学、</w:t>
      </w:r>
      <w:r>
        <w:rPr>
          <w:rFonts w:ascii="Times New Roman" w:hAnsi="Times New Roman" w:eastAsia="Times New Roman" w:cs="Times New Roman"/>
          <w:b w:val="0"/>
          <w:bCs w:val="0"/>
          <w:color w:val="000000"/>
          <w:spacing w:val="0"/>
          <w:w w:val="100"/>
          <w:position w:val="0"/>
          <w:sz w:val="24"/>
          <w:szCs w:val="24"/>
          <w:highlight w:val="none"/>
          <w:shd w:val="clear" w:color="auto" w:fill="auto"/>
        </w:rPr>
        <w:t>“985”</w:t>
      </w:r>
      <w:r>
        <w:rPr>
          <w:b w:val="0"/>
          <w:bCs w:val="0"/>
          <w:color w:val="000000"/>
          <w:spacing w:val="0"/>
          <w:w w:val="100"/>
          <w:position w:val="0"/>
          <w:highlight w:val="none"/>
          <w:shd w:val="clear" w:color="auto" w:fill="auto"/>
        </w:rPr>
        <w:t>工程和</w:t>
      </w:r>
      <w:r>
        <w:rPr>
          <w:rFonts w:ascii="Times New Roman" w:hAnsi="Times New Roman" w:eastAsia="Times New Roman" w:cs="Times New Roman"/>
          <w:b w:val="0"/>
          <w:bCs w:val="0"/>
          <w:color w:val="000000"/>
          <w:spacing w:val="0"/>
          <w:w w:val="100"/>
          <w:position w:val="0"/>
          <w:sz w:val="24"/>
          <w:szCs w:val="24"/>
          <w:highlight w:val="none"/>
          <w:shd w:val="clear" w:color="auto" w:fill="auto"/>
        </w:rPr>
        <w:t>“211”</w:t>
      </w:r>
      <w:r>
        <w:rPr>
          <w:b w:val="0"/>
          <w:bCs w:val="0"/>
          <w:color w:val="000000"/>
          <w:spacing w:val="0"/>
          <w:w w:val="100"/>
          <w:position w:val="0"/>
          <w:highlight w:val="none"/>
          <w:shd w:val="clear" w:color="auto" w:fill="auto"/>
        </w:rPr>
        <w:t>工程院校；</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②</w:t>
      </w:r>
      <w:r>
        <w:rPr>
          <w:b w:val="0"/>
          <w:bCs w:val="0"/>
          <w:color w:val="000000"/>
          <w:spacing w:val="0"/>
          <w:w w:val="100"/>
          <w:position w:val="0"/>
          <w:highlight w:val="none"/>
          <w:shd w:val="clear" w:color="auto" w:fill="auto"/>
        </w:rPr>
        <w:t>推荐免试生；</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③</w:t>
      </w:r>
      <w:r>
        <w:rPr>
          <w:b w:val="0"/>
          <w:bCs w:val="0"/>
          <w:color w:val="000000"/>
          <w:spacing w:val="0"/>
          <w:w w:val="100"/>
          <w:position w:val="0"/>
          <w:highlight w:val="none"/>
          <w:shd w:val="clear" w:color="auto" w:fill="auto"/>
        </w:rPr>
        <w:t>第一志愿报考我校者；</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sz w:val="22"/>
          <w:szCs w:val="22"/>
          <w:highlight w:val="none"/>
          <w:shd w:val="clear" w:color="auto" w:fill="auto"/>
        </w:rPr>
        <w:t>④</w:t>
      </w:r>
      <w:r>
        <w:rPr>
          <w:b w:val="0"/>
          <w:bCs w:val="0"/>
          <w:color w:val="000000"/>
          <w:spacing w:val="0"/>
          <w:w w:val="100"/>
          <w:position w:val="0"/>
          <w:highlight w:val="none"/>
          <w:shd w:val="clear" w:color="auto" w:fill="auto"/>
        </w:rPr>
        <w:t>公开发表学术论文、授权发明专利或在省级以上学科竞赛中取得良好成绩;</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sz w:val="26"/>
          <w:szCs w:val="26"/>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⑤</w:t>
      </w:r>
      <w:r>
        <w:rPr>
          <w:b w:val="0"/>
          <w:bCs w:val="0"/>
          <w:color w:val="000000"/>
          <w:spacing w:val="0"/>
          <w:w w:val="100"/>
          <w:position w:val="0"/>
          <w:sz w:val="22"/>
          <w:szCs w:val="22"/>
          <w:highlight w:val="none"/>
          <w:shd w:val="clear" w:color="auto" w:fill="auto"/>
        </w:rPr>
        <w:t>公开招考生入学考试初试成绩总分在本学院(部)本专业排名前</w:t>
      </w:r>
      <w:r>
        <w:rPr>
          <w:rFonts w:ascii="Times New Roman" w:hAnsi="Times New Roman" w:eastAsia="Times New Roman" w:cs="Times New Roman"/>
          <w:b w:val="0"/>
          <w:bCs w:val="0"/>
          <w:color w:val="000000"/>
          <w:spacing w:val="0"/>
          <w:w w:val="100"/>
          <w:position w:val="0"/>
          <w:sz w:val="24"/>
          <w:szCs w:val="24"/>
          <w:highlight w:val="none"/>
          <w:shd w:val="clear" w:color="auto" w:fill="auto"/>
        </w:rPr>
        <w:t>30%</w:t>
      </w:r>
      <w:r>
        <w:rPr>
          <w:rFonts w:ascii="宋体" w:hAnsi="宋体" w:eastAsia="宋体" w:cs="宋体"/>
          <w:b w:val="0"/>
          <w:bCs w:val="0"/>
          <w:color w:val="000000"/>
          <w:spacing w:val="0"/>
          <w:w w:val="100"/>
          <w:position w:val="0"/>
          <w:sz w:val="26"/>
          <w:szCs w:val="26"/>
          <w:highlight w:val="none"/>
          <w:shd w:val="clear" w:color="auto" w:fill="auto"/>
        </w:rPr>
        <w:t>；</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⑥</w:t>
      </w:r>
      <w:r>
        <w:rPr>
          <w:b w:val="0"/>
          <w:bCs w:val="0"/>
          <w:color w:val="000000"/>
          <w:spacing w:val="0"/>
          <w:w w:val="100"/>
          <w:position w:val="0"/>
          <w:highlight w:val="none"/>
          <w:shd w:val="clear" w:color="auto" w:fill="auto"/>
        </w:rPr>
        <w:t>本科阶段曾经获得国家级奖学金或校级一等奖学金；</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⑦</w:t>
      </w:r>
      <w:r>
        <w:rPr>
          <w:b w:val="0"/>
          <w:bCs w:val="0"/>
          <w:color w:val="000000"/>
          <w:spacing w:val="0"/>
          <w:w w:val="100"/>
          <w:position w:val="0"/>
          <w:highlight w:val="none"/>
          <w:shd w:val="clear" w:color="auto" w:fill="auto"/>
        </w:rPr>
        <w:t>本科阶段各科平均成绩达</w:t>
      </w:r>
      <w:r>
        <w:rPr>
          <w:rFonts w:ascii="Times New Roman" w:hAnsi="Times New Roman" w:eastAsia="Times New Roman" w:cs="Times New Roman"/>
          <w:b w:val="0"/>
          <w:bCs w:val="0"/>
          <w:color w:val="000000"/>
          <w:spacing w:val="0"/>
          <w:w w:val="100"/>
          <w:position w:val="0"/>
          <w:sz w:val="24"/>
          <w:szCs w:val="24"/>
          <w:highlight w:val="none"/>
          <w:shd w:val="clear" w:color="auto" w:fill="auto"/>
        </w:rPr>
        <w:t>85</w:t>
      </w:r>
      <w:r>
        <w:rPr>
          <w:b w:val="0"/>
          <w:bCs w:val="0"/>
          <w:color w:val="000000"/>
          <w:spacing w:val="0"/>
          <w:w w:val="100"/>
          <w:position w:val="0"/>
          <w:highlight w:val="none"/>
          <w:shd w:val="clear" w:color="auto" w:fill="auto"/>
        </w:rPr>
        <w:t>分以上。</w:t>
      </w:r>
    </w:p>
    <w:p>
      <w:pPr>
        <w:pStyle w:val="13"/>
        <w:keepNext w:val="0"/>
        <w:keepLines w:val="0"/>
        <w:widowControl w:val="0"/>
        <w:shd w:val="clear" w:color="auto" w:fill="auto"/>
        <w:bidi w:val="0"/>
        <w:spacing w:before="0" w:after="0" w:line="477" w:lineRule="exact"/>
        <w:ind w:left="0" w:right="0" w:firstLine="480"/>
        <w:jc w:val="left"/>
        <w:rPr>
          <w:rFonts w:hint="eastAsia" w:eastAsia="宋体"/>
          <w:b w:val="0"/>
          <w:bCs w:val="0"/>
          <w:lang w:eastAsia="zh-CN"/>
        </w:rPr>
      </w:pPr>
      <w:r>
        <w:rPr>
          <w:b w:val="0"/>
          <w:bCs w:val="0"/>
          <w:color w:val="000000"/>
          <w:spacing w:val="0"/>
          <w:w w:val="100"/>
          <w:position w:val="0"/>
          <w:shd w:val="clear" w:color="auto" w:fill="auto"/>
        </w:rPr>
        <w:t>第七条有下列情形之一者，不得参评</w:t>
      </w:r>
      <w:r>
        <w:rPr>
          <w:rFonts w:hint="eastAsia" w:eastAsia="宋体"/>
          <w:b w:val="0"/>
          <w:bCs w:val="0"/>
          <w:color w:val="000000"/>
          <w:spacing w:val="0"/>
          <w:w w:val="100"/>
          <w:position w:val="0"/>
          <w:shd w:val="clear" w:color="auto" w:fill="auto"/>
          <w:lang w:eastAsia="zh-CN"/>
        </w:rPr>
        <w:t>：</w:t>
      </w:r>
    </w:p>
    <w:p>
      <w:pPr>
        <w:pStyle w:val="13"/>
        <w:keepNext w:val="0"/>
        <w:keepLines w:val="0"/>
        <w:widowControl w:val="0"/>
        <w:shd w:val="clear" w:color="auto" w:fill="auto"/>
        <w:tabs>
          <w:tab w:val="left" w:pos="860"/>
        </w:tabs>
        <w:bidi w:val="0"/>
        <w:spacing w:before="0" w:after="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在学校规定时间内未完成注册手续；</w:t>
      </w:r>
    </w:p>
    <w:p>
      <w:pPr>
        <w:pStyle w:val="13"/>
        <w:keepNext w:val="0"/>
        <w:keepLines w:val="0"/>
        <w:widowControl w:val="0"/>
        <w:shd w:val="clear" w:color="auto" w:fill="auto"/>
        <w:tabs>
          <w:tab w:val="left" w:pos="882"/>
        </w:tabs>
        <w:bidi w:val="0"/>
        <w:spacing w:before="0" w:after="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新生经查实在研究生入学考试中隐瞒事实或有虚假内容；</w:t>
      </w:r>
    </w:p>
    <w:p>
      <w:pPr>
        <w:pStyle w:val="13"/>
        <w:keepNext w:val="0"/>
        <w:keepLines w:val="0"/>
        <w:widowControl w:val="0"/>
        <w:shd w:val="clear" w:color="auto" w:fill="auto"/>
        <w:tabs>
          <w:tab w:val="left" w:pos="882"/>
        </w:tabs>
        <w:bidi w:val="0"/>
        <w:spacing w:before="0" w:after="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评审年度受到学校通报批评以上(含通报批评)处理或处分；</w:t>
      </w:r>
    </w:p>
    <w:p>
      <w:pPr>
        <w:pStyle w:val="13"/>
        <w:keepNext w:val="0"/>
        <w:keepLines w:val="0"/>
        <w:widowControl w:val="0"/>
        <w:shd w:val="clear" w:color="auto" w:fill="auto"/>
        <w:tabs>
          <w:tab w:val="left" w:pos="882"/>
        </w:tabs>
        <w:bidi w:val="0"/>
        <w:spacing w:before="0" w:after="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4</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休学、保留学籍及经学校批准复学不满半年；</w:t>
      </w:r>
    </w:p>
    <w:p>
      <w:pPr>
        <w:pStyle w:val="13"/>
        <w:keepNext w:val="0"/>
        <w:keepLines w:val="0"/>
        <w:widowControl w:val="0"/>
        <w:shd w:val="clear" w:color="auto" w:fill="auto"/>
        <w:tabs>
          <w:tab w:val="left" w:pos="882"/>
        </w:tabs>
        <w:bidi w:val="0"/>
        <w:spacing w:before="0" w:after="18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5</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申请评奖的研究成果存在明显争议者；</w:t>
      </w:r>
    </w:p>
    <w:p>
      <w:pPr>
        <w:pStyle w:val="13"/>
        <w:keepNext w:val="0"/>
        <w:keepLines w:val="0"/>
        <w:widowControl w:val="0"/>
        <w:shd w:val="clear" w:color="auto" w:fill="auto"/>
        <w:tabs>
          <w:tab w:val="left" w:pos="882"/>
        </w:tabs>
        <w:bidi w:val="0"/>
        <w:spacing w:before="0" w:after="180" w:line="415"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6</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因各种原因退学。</w:t>
      </w:r>
    </w:p>
    <w:p>
      <w:pPr>
        <w:pStyle w:val="11"/>
        <w:keepNext/>
        <w:keepLines/>
        <w:widowControl w:val="0"/>
        <w:shd w:val="clear" w:color="auto" w:fill="auto"/>
        <w:bidi w:val="0"/>
        <w:spacing w:before="0" w:line="240" w:lineRule="auto"/>
        <w:ind w:left="0" w:right="0" w:firstLine="0"/>
        <w:jc w:val="center"/>
        <w:rPr>
          <w:b w:val="0"/>
          <w:bCs w:val="0"/>
        </w:rPr>
      </w:pPr>
      <w:bookmarkStart w:id="10" w:name="bookmark10"/>
      <w:bookmarkStart w:id="11" w:name="bookmark11"/>
      <w:r>
        <w:rPr>
          <w:b w:val="0"/>
          <w:bCs w:val="0"/>
          <w:color w:val="000000"/>
          <w:spacing w:val="0"/>
          <w:w w:val="100"/>
          <w:position w:val="0"/>
          <w:shd w:val="clear" w:color="auto" w:fill="auto"/>
        </w:rPr>
        <w:t>第四章评审组织与办法</w:t>
      </w:r>
      <w:bookmarkEnd w:id="10"/>
      <w:bookmarkEnd w:id="11"/>
    </w:p>
    <w:p>
      <w:pPr>
        <w:pStyle w:val="13"/>
        <w:keepNext w:val="0"/>
        <w:keepLines w:val="0"/>
        <w:widowControl w:val="0"/>
        <w:shd w:val="clear" w:color="auto" w:fill="auto"/>
        <w:bidi w:val="0"/>
        <w:spacing w:before="0" w:after="0" w:line="477" w:lineRule="exact"/>
        <w:ind w:left="0" w:right="0" w:firstLine="480"/>
        <w:jc w:val="left"/>
        <w:rPr>
          <w:b w:val="0"/>
          <w:bCs w:val="0"/>
        </w:rPr>
      </w:pPr>
      <w:r>
        <w:rPr>
          <w:b w:val="0"/>
          <w:bCs w:val="0"/>
          <w:color w:val="000000"/>
          <w:spacing w:val="0"/>
          <w:w w:val="100"/>
          <w:position w:val="0"/>
          <w:shd w:val="clear" w:color="auto" w:fill="auto"/>
        </w:rPr>
        <w:t>第八条评审组织</w:t>
      </w:r>
    </w:p>
    <w:p>
      <w:pPr>
        <w:pStyle w:val="13"/>
        <w:keepNext w:val="0"/>
        <w:keepLines w:val="0"/>
        <w:widowControl w:val="0"/>
        <w:shd w:val="clear" w:color="auto" w:fill="auto"/>
        <w:bidi w:val="0"/>
        <w:spacing w:before="0" w:after="0" w:line="477" w:lineRule="exact"/>
        <w:ind w:left="0" w:right="0" w:firstLine="480"/>
        <w:jc w:val="left"/>
        <w:rPr>
          <w:b w:val="0"/>
          <w:bCs w:val="0"/>
        </w:rPr>
      </w:pPr>
      <w:r>
        <w:rPr>
          <w:b w:val="0"/>
          <w:bCs w:val="0"/>
          <w:color w:val="000000"/>
          <w:spacing w:val="0"/>
          <w:w w:val="100"/>
          <w:position w:val="0"/>
          <w:shd w:val="clear" w:color="auto" w:fill="auto"/>
        </w:rPr>
        <w:t>成立</w:t>
      </w:r>
      <w:r>
        <w:rPr>
          <w:rFonts w:ascii="Times New Roman" w:hAnsi="Times New Roman" w:eastAsia="Times New Roman" w:cs="Times New Roman"/>
          <w:b w:val="0"/>
          <w:bCs w:val="0"/>
          <w:color w:val="000000"/>
          <w:spacing w:val="0"/>
          <w:w w:val="100"/>
          <w:position w:val="0"/>
          <w:sz w:val="24"/>
          <w:szCs w:val="24"/>
          <w:shd w:val="clear" w:color="auto" w:fill="auto"/>
        </w:rPr>
        <w:t>7</w:t>
      </w:r>
      <w:r>
        <w:rPr>
          <w:b w:val="0"/>
          <w:bCs w:val="0"/>
          <w:color w:val="000000"/>
          <w:spacing w:val="0"/>
          <w:w w:val="100"/>
          <w:position w:val="0"/>
          <w:shd w:val="clear" w:color="auto" w:fill="auto"/>
        </w:rPr>
        <w:t>人及以上的研究生学业奖学金评审委员会，负责组织和评审工作。评委会由学院党委书记任主任，成员由学院党政领导、研究生辅导员、研究生教务员、导师代表、研究生代表等人组成。</w:t>
      </w:r>
    </w:p>
    <w:p>
      <w:pPr>
        <w:pStyle w:val="13"/>
        <w:keepNext w:val="0"/>
        <w:keepLines w:val="0"/>
        <w:widowControl w:val="0"/>
        <w:shd w:val="clear" w:color="auto" w:fill="auto"/>
        <w:bidi w:val="0"/>
        <w:spacing w:before="0" w:after="0" w:line="477" w:lineRule="exact"/>
        <w:ind w:left="0" w:right="0" w:firstLine="480"/>
        <w:jc w:val="left"/>
        <w:rPr>
          <w:b w:val="0"/>
          <w:bCs w:val="0"/>
        </w:rPr>
      </w:pPr>
      <w:r>
        <w:rPr>
          <w:b w:val="0"/>
          <w:bCs w:val="0"/>
          <w:color w:val="000000"/>
          <w:spacing w:val="0"/>
          <w:w w:val="100"/>
          <w:position w:val="0"/>
          <w:shd w:val="clear" w:color="auto" w:fill="auto"/>
        </w:rPr>
        <w:t>第九条评审办法</w:t>
      </w:r>
    </w:p>
    <w:p>
      <w:pPr>
        <w:pStyle w:val="13"/>
        <w:keepNext w:val="0"/>
        <w:keepLines w:val="0"/>
        <w:widowControl w:val="0"/>
        <w:shd w:val="clear" w:color="auto" w:fill="auto"/>
        <w:bidi w:val="0"/>
        <w:spacing w:before="0" w:after="0" w:line="479" w:lineRule="exact"/>
        <w:ind w:left="0" w:right="0" w:firstLine="480"/>
        <w:jc w:val="left"/>
        <w:rPr>
          <w:b w:val="0"/>
          <w:bCs w:val="0"/>
        </w:rPr>
      </w:pPr>
      <w:r>
        <w:rPr>
          <w:b w:val="0"/>
          <w:bCs w:val="0"/>
          <w:color w:val="000000"/>
          <w:spacing w:val="0"/>
          <w:w w:val="100"/>
          <w:position w:val="0"/>
          <w:shd w:val="clear" w:color="auto" w:fill="auto"/>
        </w:rPr>
        <w:t>具备申请条件的研究生，根据研究生院分配的奖学金名额，按照本暂行办法评审规则，按照优先次序评审。</w:t>
      </w:r>
    </w:p>
    <w:p>
      <w:pPr>
        <w:pStyle w:val="13"/>
        <w:keepNext w:val="0"/>
        <w:keepLines w:val="0"/>
        <w:widowControl w:val="0"/>
        <w:shd w:val="clear" w:color="auto" w:fill="auto"/>
        <w:bidi w:val="0"/>
        <w:spacing w:before="0" w:after="180" w:line="479" w:lineRule="exact"/>
        <w:ind w:left="0" w:right="0" w:firstLine="480"/>
        <w:jc w:val="left"/>
        <w:rPr>
          <w:b w:val="0"/>
          <w:bCs w:val="0"/>
        </w:rPr>
      </w:pPr>
      <w:r>
        <w:rPr>
          <w:b w:val="0"/>
          <w:bCs w:val="0"/>
          <w:color w:val="000000"/>
          <w:spacing w:val="0"/>
          <w:w w:val="100"/>
          <w:position w:val="0"/>
          <w:shd w:val="clear" w:color="auto" w:fill="auto"/>
        </w:rPr>
        <w:t>第十条评审规则</w:t>
      </w:r>
    </w:p>
    <w:p>
      <w:pPr>
        <w:pStyle w:val="13"/>
        <w:keepNext w:val="0"/>
        <w:keepLines w:val="0"/>
        <w:widowControl w:val="0"/>
        <w:shd w:val="clear" w:color="auto" w:fill="auto"/>
        <w:bidi w:val="0"/>
        <w:spacing w:before="0" w:after="0" w:line="401"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、硕士新生学业奖学金</w:t>
      </w:r>
    </w:p>
    <w:p>
      <w:pPr>
        <w:pStyle w:val="13"/>
        <w:keepNext w:val="0"/>
        <w:keepLines w:val="0"/>
        <w:widowControl w:val="0"/>
        <w:numPr>
          <w:ilvl w:val="0"/>
          <w:numId w:val="0"/>
        </w:numPr>
        <w:shd w:val="clear" w:color="auto" w:fill="auto"/>
        <w:tabs>
          <w:tab w:val="left" w:pos="1151"/>
        </w:tabs>
        <w:bidi w:val="0"/>
        <w:spacing w:before="0" w:after="0" w:line="461" w:lineRule="exact"/>
        <w:ind w:left="620" w:leftChars="0" w:right="0" w:rightChars="0"/>
        <w:jc w:val="left"/>
        <w:rPr>
          <w:b w:val="0"/>
          <w:bCs w:val="0"/>
        </w:rPr>
      </w:pPr>
      <w:r>
        <w:rPr>
          <w:rFonts w:hint="eastAsia" w:asciiTheme="minorEastAsia" w:hAnsiTheme="minorEastAsia" w:eastAsiaTheme="minorEastAsia" w:cstheme="minorEastAsia"/>
          <w:b w:val="0"/>
          <w:bCs w:val="0"/>
          <w:color w:val="000000"/>
          <w:spacing w:val="0"/>
          <w:w w:val="100"/>
          <w:position w:val="0"/>
          <w:shd w:val="clear" w:color="auto" w:fill="auto"/>
          <w:lang w:eastAsia="zh-CN"/>
        </w:rPr>
        <w:t>（</w:t>
      </w:r>
      <w:r>
        <w:rPr>
          <w:rFonts w:hint="eastAsia" w:asciiTheme="minorEastAsia" w:hAnsiTheme="minorEastAsia" w:eastAsiaTheme="minorEastAsia" w:cstheme="minorEastAsia"/>
          <w:b w:val="0"/>
          <w:bCs w:val="0"/>
          <w:color w:val="000000"/>
          <w:spacing w:val="0"/>
          <w:w w:val="100"/>
          <w:position w:val="0"/>
          <w:shd w:val="clear" w:color="auto" w:fill="auto"/>
          <w:lang w:val="en-US" w:eastAsia="zh-CN"/>
        </w:rPr>
        <w:t>1</w:t>
      </w:r>
      <w:r>
        <w:rPr>
          <w:rFonts w:hint="eastAsia" w:asciiTheme="minorEastAsia" w:hAnsiTheme="minorEastAsia" w:eastAsiaTheme="minorEastAsia" w:cstheme="minorEastAsia"/>
          <w:b w:val="0"/>
          <w:bCs w:val="0"/>
          <w:color w:val="000000"/>
          <w:spacing w:val="0"/>
          <w:w w:val="100"/>
          <w:position w:val="0"/>
          <w:shd w:val="clear" w:color="auto" w:fill="auto"/>
          <w:lang w:eastAsia="zh-CN"/>
        </w:rPr>
        <w:t>）</w:t>
      </w:r>
      <w:r>
        <w:rPr>
          <w:b w:val="0"/>
          <w:bCs w:val="0"/>
          <w:color w:val="000000"/>
          <w:spacing w:val="0"/>
          <w:w w:val="100"/>
          <w:position w:val="0"/>
          <w:shd w:val="clear" w:color="auto" w:fill="auto"/>
        </w:rPr>
        <w:t>根据学校规定，当年度推荐免试生入学第一年全部获评一等学业奖学金;</w:t>
      </w:r>
    </w:p>
    <w:p>
      <w:pPr>
        <w:pStyle w:val="13"/>
        <w:keepNext w:val="0"/>
        <w:keepLines w:val="0"/>
        <w:widowControl w:val="0"/>
        <w:numPr>
          <w:ilvl w:val="0"/>
          <w:numId w:val="0"/>
        </w:numPr>
        <w:shd w:val="clear" w:color="auto" w:fill="auto"/>
        <w:tabs>
          <w:tab w:val="left" w:pos="1122"/>
        </w:tabs>
        <w:bidi w:val="0"/>
        <w:spacing w:before="0" w:after="0" w:line="461" w:lineRule="exact"/>
        <w:ind w:left="620" w:leftChars="0" w:right="0" w:rightChars="0"/>
        <w:jc w:val="left"/>
        <w:rPr>
          <w:b w:val="0"/>
          <w:bCs w:val="0"/>
        </w:rPr>
      </w:pPr>
      <w:r>
        <w:rPr>
          <w:rFonts w:hint="eastAsia" w:asciiTheme="minorEastAsia" w:hAnsiTheme="minorEastAsia" w:eastAsiaTheme="minorEastAsia" w:cstheme="minorEastAsia"/>
          <w:b w:val="0"/>
          <w:bCs w:val="0"/>
          <w:color w:val="000000"/>
          <w:spacing w:val="0"/>
          <w:w w:val="100"/>
          <w:position w:val="0"/>
          <w:shd w:val="clear" w:color="auto" w:fill="auto"/>
          <w:lang w:eastAsia="zh-CN"/>
        </w:rPr>
        <w:t>（</w:t>
      </w:r>
      <w:r>
        <w:rPr>
          <w:rFonts w:hint="eastAsia" w:asciiTheme="minorEastAsia" w:hAnsiTheme="minorEastAsia" w:eastAsiaTheme="minorEastAsia" w:cstheme="minorEastAsia"/>
          <w:b w:val="0"/>
          <w:bCs w:val="0"/>
          <w:color w:val="000000"/>
          <w:spacing w:val="0"/>
          <w:w w:val="100"/>
          <w:position w:val="0"/>
          <w:shd w:val="clear" w:color="auto" w:fill="auto"/>
          <w:lang w:val="en-US" w:eastAsia="zh-CN"/>
        </w:rPr>
        <w:t>2</w:t>
      </w:r>
      <w:r>
        <w:rPr>
          <w:rFonts w:hint="eastAsia" w:asciiTheme="minorEastAsia" w:hAnsiTheme="minorEastAsia" w:eastAsiaTheme="minorEastAsia" w:cstheme="minorEastAsia"/>
          <w:b w:val="0"/>
          <w:bCs w:val="0"/>
          <w:color w:val="000000"/>
          <w:spacing w:val="0"/>
          <w:w w:val="100"/>
          <w:position w:val="0"/>
          <w:shd w:val="clear" w:color="auto" w:fill="auto"/>
          <w:lang w:eastAsia="zh-CN"/>
        </w:rPr>
        <w:t>）</w:t>
      </w:r>
      <w:r>
        <w:rPr>
          <w:b w:val="0"/>
          <w:bCs w:val="0"/>
          <w:color w:val="000000"/>
          <w:spacing w:val="0"/>
          <w:w w:val="100"/>
          <w:position w:val="0"/>
          <w:shd w:val="clear" w:color="auto" w:fill="auto"/>
        </w:rPr>
        <w:t>往年度推荐免试生满足以下任一条件者，可申请一等奖学金；未满足者,则获评二等学业奖学金：</w:t>
      </w:r>
    </w:p>
    <w:p>
      <w:pPr>
        <w:pStyle w:val="13"/>
        <w:keepNext w:val="0"/>
        <w:keepLines w:val="0"/>
        <w:widowControl w:val="0"/>
        <w:numPr>
          <w:ilvl w:val="0"/>
          <w:numId w:val="0"/>
        </w:numPr>
        <w:shd w:val="clear" w:color="auto" w:fill="auto"/>
        <w:bidi w:val="0"/>
        <w:spacing w:before="0" w:after="180" w:line="461" w:lineRule="exact"/>
        <w:ind w:left="480" w:leftChars="0" w:right="0" w:rightChars="0"/>
        <w:jc w:val="left"/>
        <w:rPr>
          <w:b w:val="0"/>
          <w:bCs w:val="0"/>
        </w:rPr>
      </w:pPr>
      <w:r>
        <w:rPr>
          <w:rFonts w:hint="eastAsia" w:ascii="微软雅黑" w:hAnsi="微软雅黑" w:eastAsia="微软雅黑" w:cs="微软雅黑"/>
          <w:b w:val="0"/>
          <w:bCs w:val="0"/>
          <w:color w:val="000000"/>
          <w:spacing w:val="0"/>
          <w:w w:val="100"/>
          <w:position w:val="0"/>
          <w:shd w:val="clear" w:color="auto" w:fill="auto"/>
        </w:rPr>
        <w:t>①</w:t>
      </w:r>
      <w:r>
        <w:rPr>
          <w:b w:val="0"/>
          <w:bCs w:val="0"/>
          <w:color w:val="000000"/>
          <w:spacing w:val="0"/>
          <w:w w:val="100"/>
          <w:position w:val="0"/>
          <w:shd w:val="clear" w:color="auto" w:fill="auto"/>
        </w:rPr>
        <w:t>本科阶段平均学分绩点达到</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4.0</w:t>
      </w:r>
      <w:r>
        <w:rPr>
          <w:b w:val="0"/>
          <w:bCs w:val="0"/>
          <w:color w:val="000000"/>
          <w:spacing w:val="0"/>
          <w:w w:val="100"/>
          <w:position w:val="0"/>
          <w:shd w:val="clear" w:color="auto" w:fill="auto"/>
        </w:rPr>
        <w:t>或者以上；</w:t>
      </w:r>
    </w:p>
    <w:p>
      <w:pPr>
        <w:pStyle w:val="13"/>
        <w:keepNext w:val="0"/>
        <w:keepLines w:val="0"/>
        <w:widowControl w:val="0"/>
        <w:numPr>
          <w:ilvl w:val="0"/>
          <w:numId w:val="0"/>
        </w:numPr>
        <w:shd w:val="clear" w:color="auto" w:fill="auto"/>
        <w:tabs>
          <w:tab w:val="left" w:pos="869"/>
        </w:tabs>
        <w:bidi w:val="0"/>
        <w:spacing w:before="0" w:after="0" w:line="470" w:lineRule="exact"/>
        <w:ind w:left="480" w:leftChars="0" w:right="0" w:rightChars="0"/>
        <w:jc w:val="both"/>
        <w:rPr>
          <w:b w:val="0"/>
          <w:bCs w:val="0"/>
        </w:rPr>
      </w:pPr>
      <w:r>
        <w:rPr>
          <w:rFonts w:hint="eastAsia" w:ascii="微软雅黑" w:hAnsi="微软雅黑" w:eastAsia="微软雅黑" w:cs="微软雅黑"/>
          <w:b w:val="0"/>
          <w:bCs w:val="0"/>
          <w:color w:val="000000"/>
          <w:spacing w:val="0"/>
          <w:w w:val="100"/>
          <w:position w:val="0"/>
          <w:shd w:val="clear" w:color="auto" w:fill="auto"/>
        </w:rPr>
        <w:t>②</w:t>
      </w:r>
      <w:r>
        <w:rPr>
          <w:b w:val="0"/>
          <w:bCs w:val="0"/>
          <w:color w:val="000000"/>
          <w:spacing w:val="0"/>
          <w:w w:val="100"/>
          <w:position w:val="0"/>
          <w:shd w:val="clear" w:color="auto" w:fill="auto"/>
        </w:rPr>
        <w:t>以第一排名获得“挑战杯”全国大学生课外学术科技作品竞赛全国赛一等奖或以上；或以第一排名获得“挑战杯•创青春”全国大学生创业计划大赛、创业实践挑战赛全国赛金奖；</w:t>
      </w:r>
    </w:p>
    <w:p>
      <w:pPr>
        <w:pStyle w:val="13"/>
        <w:keepNext w:val="0"/>
        <w:keepLines w:val="0"/>
        <w:widowControl w:val="0"/>
        <w:numPr>
          <w:ilvl w:val="0"/>
          <w:numId w:val="0"/>
        </w:numPr>
        <w:shd w:val="clear" w:color="auto" w:fill="auto"/>
        <w:tabs>
          <w:tab w:val="left" w:pos="869"/>
        </w:tabs>
        <w:bidi w:val="0"/>
        <w:spacing w:before="0" w:after="0" w:line="470" w:lineRule="exact"/>
        <w:ind w:left="480" w:leftChars="0" w:right="0" w:rightChars="0"/>
        <w:jc w:val="both"/>
        <w:rPr>
          <w:b w:val="0"/>
          <w:bCs w:val="0"/>
        </w:rPr>
      </w:pPr>
      <w:r>
        <w:rPr>
          <w:rFonts w:hint="eastAsia" w:ascii="微软雅黑" w:hAnsi="微软雅黑" w:eastAsia="微软雅黑" w:cs="微软雅黑"/>
          <w:b w:val="0"/>
          <w:bCs w:val="0"/>
          <w:color w:val="000000"/>
          <w:spacing w:val="0"/>
          <w:w w:val="100"/>
          <w:position w:val="0"/>
          <w:shd w:val="clear" w:color="auto" w:fill="auto"/>
        </w:rPr>
        <w:t>③</w:t>
      </w:r>
      <w:r>
        <w:rPr>
          <w:b w:val="0"/>
          <w:bCs w:val="0"/>
          <w:color w:val="000000"/>
          <w:spacing w:val="0"/>
          <w:w w:val="100"/>
          <w:position w:val="0"/>
          <w:shd w:val="clear" w:color="auto" w:fill="auto"/>
        </w:rPr>
        <w:t>以排名首位的第一作者、排名最后的通讯作者，或导师为第一作者、本人为第二作者，在北大中文核心期刊、</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CSCCI</w:t>
      </w:r>
      <w:r>
        <w:rPr>
          <w:b w:val="0"/>
          <w:bCs w:val="0"/>
          <w:color w:val="000000"/>
          <w:spacing w:val="0"/>
          <w:w w:val="100"/>
          <w:position w:val="0"/>
          <w:shd w:val="clear" w:color="auto" w:fill="auto"/>
        </w:rPr>
        <w:t>期刊，或者高水平外文期刊上公开发表与本学科相关的论文。（中文以纸质版刊物见刊为准，外文刊物以图书馆收录证明为准）</w:t>
      </w:r>
    </w:p>
    <w:p>
      <w:pPr>
        <w:pStyle w:val="13"/>
        <w:keepNext w:val="0"/>
        <w:keepLines w:val="0"/>
        <w:widowControl w:val="0"/>
        <w:shd w:val="clear" w:color="auto" w:fill="auto"/>
        <w:bidi w:val="0"/>
        <w:spacing w:before="0" w:after="0" w:line="470" w:lineRule="exact"/>
        <w:ind w:left="0" w:right="0" w:firstLine="620"/>
        <w:jc w:val="both"/>
        <w:rPr>
          <w:b w:val="0"/>
          <w:bCs w:val="0"/>
        </w:rPr>
      </w:pPr>
      <w:r>
        <w:rPr>
          <w:rFonts w:ascii="宋体" w:hAnsi="宋体" w:eastAsia="宋体" w:cs="宋体"/>
          <w:b w:val="0"/>
          <w:bCs w:val="0"/>
          <w:color w:val="000000"/>
          <w:spacing w:val="0"/>
          <w:w w:val="100"/>
          <w:position w:val="0"/>
          <w:sz w:val="26"/>
          <w:szCs w:val="26"/>
          <w:shd w:val="clear" w:color="auto" w:fill="auto"/>
        </w:rPr>
        <w:t>（</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剩余硕士生新生一等学业奖学金名额根据第一志愿报考生、调剂生录取类型，按照</w:t>
      </w:r>
      <w:r>
        <w:rPr>
          <w:rFonts w:ascii="Times New Roman" w:hAnsi="Times New Roman" w:eastAsia="Times New Roman" w:cs="Times New Roman"/>
          <w:b w:val="0"/>
          <w:bCs w:val="0"/>
          <w:color w:val="000000"/>
          <w:spacing w:val="0"/>
          <w:w w:val="100"/>
          <w:position w:val="0"/>
          <w:sz w:val="24"/>
          <w:szCs w:val="24"/>
          <w:shd w:val="clear" w:color="auto" w:fill="auto"/>
        </w:rPr>
        <w:t>6:4</w:t>
      </w:r>
      <w:r>
        <w:rPr>
          <w:b w:val="0"/>
          <w:bCs w:val="0"/>
          <w:color w:val="000000"/>
          <w:spacing w:val="0"/>
          <w:w w:val="100"/>
          <w:position w:val="0"/>
          <w:shd w:val="clear" w:color="auto" w:fill="auto"/>
        </w:rPr>
        <w:t>的比例进行分配。二、三等奖学金按照获得录取资格的先后，以及成绩高低进行确定。排序规则如下：</w:t>
      </w:r>
    </w:p>
    <w:p>
      <w:pPr>
        <w:pStyle w:val="13"/>
        <w:keepNext w:val="0"/>
        <w:keepLines w:val="0"/>
        <w:widowControl w:val="0"/>
        <w:numPr>
          <w:ilvl w:val="0"/>
          <w:numId w:val="0"/>
        </w:numPr>
        <w:shd w:val="clear" w:color="auto" w:fill="auto"/>
        <w:tabs>
          <w:tab w:val="left" w:pos="877"/>
        </w:tabs>
        <w:bidi w:val="0"/>
        <w:spacing w:before="0" w:after="0" w:line="470" w:lineRule="exact"/>
        <w:ind w:left="480" w:leftChars="0" w:right="0" w:rightChars="0"/>
        <w:jc w:val="both"/>
        <w:rPr>
          <w:b w:val="0"/>
          <w:bCs w:val="0"/>
          <w:sz w:val="26"/>
          <w:szCs w:val="26"/>
        </w:rPr>
      </w:pPr>
      <w:r>
        <w:rPr>
          <w:rFonts w:hint="eastAsia" w:ascii="微软雅黑" w:hAnsi="微软雅黑" w:eastAsia="微软雅黑" w:cs="微软雅黑"/>
          <w:b w:val="0"/>
          <w:bCs w:val="0"/>
          <w:color w:val="000000"/>
          <w:spacing w:val="0"/>
          <w:w w:val="100"/>
          <w:position w:val="0"/>
          <w:sz w:val="22"/>
          <w:szCs w:val="22"/>
          <w:shd w:val="clear" w:color="auto" w:fill="auto"/>
        </w:rPr>
        <w:t>①</w:t>
      </w:r>
      <w:r>
        <w:rPr>
          <w:b w:val="0"/>
          <w:bCs w:val="0"/>
          <w:color w:val="000000"/>
          <w:spacing w:val="0"/>
          <w:w w:val="100"/>
          <w:position w:val="0"/>
          <w:sz w:val="22"/>
          <w:szCs w:val="22"/>
          <w:shd w:val="clear" w:color="auto" w:fill="auto"/>
        </w:rPr>
        <w:t>第一志愿报考生、调剂生分别按入学成绩（初试）在所报考专业所在学科门类的标准分进行排序，标准分计算方式：入学考试（初试）成绩总分除以报考专业所在学科门类（经济类、管理类、</w:t>
      </w:r>
      <w:r>
        <w:rPr>
          <w:rFonts w:hint="eastAsia" w:eastAsia="宋体"/>
          <w:b w:val="0"/>
          <w:bCs w:val="0"/>
          <w:color w:val="000000"/>
          <w:spacing w:val="0"/>
          <w:w w:val="100"/>
          <w:position w:val="0"/>
          <w:sz w:val="22"/>
          <w:szCs w:val="22"/>
          <w:highlight w:val="none"/>
          <w:shd w:val="clear" w:color="auto" w:fill="auto"/>
          <w:lang w:val="en-US" w:eastAsia="zh-CN"/>
        </w:rPr>
        <w:t>农业类</w:t>
      </w:r>
      <w:r>
        <w:rPr>
          <w:b w:val="0"/>
          <w:bCs w:val="0"/>
          <w:color w:val="000000"/>
          <w:spacing w:val="0"/>
          <w:w w:val="100"/>
          <w:position w:val="0"/>
          <w:sz w:val="22"/>
          <w:szCs w:val="22"/>
          <w:highlight w:val="none"/>
          <w:shd w:val="clear" w:color="auto" w:fill="auto"/>
        </w:rPr>
        <w:t>（专业硕士）、</w:t>
      </w:r>
      <w:r>
        <w:rPr>
          <w:b w:val="0"/>
          <w:bCs w:val="0"/>
          <w:color w:val="000000"/>
          <w:spacing w:val="0"/>
          <w:w w:val="100"/>
          <w:position w:val="0"/>
          <w:sz w:val="22"/>
          <w:szCs w:val="22"/>
          <w:shd w:val="clear" w:color="auto" w:fill="auto"/>
        </w:rPr>
        <w:t>金融（专业硕士）、会计硕士等）总分录取最高分</w:t>
      </w:r>
      <w:r>
        <w:rPr>
          <w:rFonts w:hint="eastAsia" w:ascii="微软雅黑" w:hAnsi="微软雅黑" w:eastAsia="微软雅黑" w:cs="微软雅黑"/>
          <w:b w:val="0"/>
          <w:bCs w:val="0"/>
          <w:color w:val="000000"/>
          <w:spacing w:val="0"/>
          <w:w w:val="100"/>
          <w:position w:val="0"/>
          <w:sz w:val="24"/>
          <w:szCs w:val="24"/>
          <w:shd w:val="clear" w:color="auto" w:fill="auto"/>
          <w:lang w:val="en-US" w:eastAsia="en-US" w:bidi="en-US"/>
        </w:rPr>
        <w:t>×</w:t>
      </w: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bidi="en-US"/>
        </w:rPr>
        <w:t>100</w:t>
      </w:r>
      <w:r>
        <w:rPr>
          <w:rFonts w:ascii="宋体" w:hAnsi="宋体" w:eastAsia="宋体" w:cs="宋体"/>
          <w:b w:val="0"/>
          <w:bCs w:val="0"/>
          <w:color w:val="000000"/>
          <w:spacing w:val="0"/>
          <w:w w:val="100"/>
          <w:position w:val="0"/>
          <w:sz w:val="26"/>
          <w:szCs w:val="26"/>
          <w:shd w:val="clear" w:color="auto" w:fill="auto"/>
          <w:lang w:val="en-US" w:eastAsia="en-US" w:bidi="en-US"/>
        </w:rPr>
        <w:t>；</w:t>
      </w:r>
    </w:p>
    <w:p>
      <w:pPr>
        <w:pStyle w:val="13"/>
        <w:keepNext w:val="0"/>
        <w:keepLines w:val="0"/>
        <w:widowControl w:val="0"/>
        <w:numPr>
          <w:ilvl w:val="0"/>
          <w:numId w:val="0"/>
        </w:numPr>
        <w:shd w:val="clear" w:color="auto" w:fill="auto"/>
        <w:tabs>
          <w:tab w:val="left" w:pos="885"/>
        </w:tabs>
        <w:bidi w:val="0"/>
        <w:spacing w:before="0" w:after="0" w:line="470" w:lineRule="exact"/>
        <w:ind w:left="480" w:leftChars="0" w:right="0" w:rightChars="0"/>
        <w:jc w:val="both"/>
        <w:rPr>
          <w:b w:val="0"/>
          <w:bCs w:val="0"/>
        </w:rPr>
      </w:pPr>
      <w:r>
        <w:rPr>
          <w:rFonts w:hint="eastAsia" w:ascii="微软雅黑" w:hAnsi="微软雅黑" w:eastAsia="微软雅黑" w:cs="微软雅黑"/>
          <w:b w:val="0"/>
          <w:bCs w:val="0"/>
          <w:color w:val="000000"/>
          <w:spacing w:val="0"/>
          <w:w w:val="100"/>
          <w:position w:val="0"/>
          <w:shd w:val="clear" w:color="auto" w:fill="auto"/>
        </w:rPr>
        <w:t>②</w:t>
      </w:r>
      <w:r>
        <w:rPr>
          <w:b w:val="0"/>
          <w:bCs w:val="0"/>
          <w:color w:val="000000"/>
          <w:spacing w:val="0"/>
          <w:w w:val="100"/>
          <w:position w:val="0"/>
          <w:shd w:val="clear" w:color="auto" w:fill="auto"/>
        </w:rPr>
        <w:t>出现相同分数的优先考虑在学科竞赛、科研等方面取得优异成绩者。</w:t>
      </w:r>
    </w:p>
    <w:p>
      <w:pPr>
        <w:pStyle w:val="13"/>
        <w:keepNext w:val="0"/>
        <w:keepLines w:val="0"/>
        <w:widowControl w:val="0"/>
        <w:shd w:val="clear" w:color="auto" w:fill="auto"/>
        <w:tabs>
          <w:tab w:val="left" w:pos="868"/>
        </w:tabs>
        <w:bidi w:val="0"/>
        <w:spacing w:before="0" w:after="0" w:line="468" w:lineRule="exact"/>
        <w:ind w:left="0" w:right="0" w:firstLine="480"/>
        <w:jc w:val="both"/>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博士生新生学业奖学金名额根据科研成果、成绩高低进行确定。排序规则如下：</w:t>
      </w:r>
    </w:p>
    <w:p>
      <w:pPr>
        <w:pStyle w:val="13"/>
        <w:keepNext w:val="0"/>
        <w:keepLines w:val="0"/>
        <w:widowControl w:val="0"/>
        <w:shd w:val="clear" w:color="auto" w:fill="auto"/>
        <w:tabs>
          <w:tab w:val="left" w:pos="1107"/>
        </w:tabs>
        <w:bidi w:val="0"/>
        <w:spacing w:before="0" w:after="180" w:line="468" w:lineRule="exact"/>
        <w:ind w:left="0" w:right="0" w:firstLine="620"/>
        <w:jc w:val="both"/>
        <w:rPr>
          <w:b w:val="0"/>
          <w:bCs w:val="0"/>
        </w:rPr>
      </w:pPr>
      <w:r>
        <w:rPr>
          <w:rFonts w:hint="eastAsia" w:asciiTheme="minorEastAsia" w:hAnsiTheme="minorEastAsia" w:eastAsiaTheme="minorEastAsia" w:cstheme="minorEastAsia"/>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科研成果根据从硕士入学起到当年评选成果计算时间止正式公开发表的</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篇体现个人科研水平和潜力的代表性期刊论文（不足</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篇，以实际数量为准；超过</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篇，只须提交</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篇代表作），依据最新版华南农业大学经济管理学院研究生国家奖学金发表论文计分规则进行计分排序。</w:t>
      </w:r>
    </w:p>
    <w:p>
      <w:pPr>
        <w:pStyle w:val="13"/>
        <w:keepNext w:val="0"/>
        <w:keepLines w:val="0"/>
        <w:widowControl w:val="0"/>
        <w:shd w:val="clear" w:color="auto" w:fill="auto"/>
        <w:tabs>
          <w:tab w:val="left" w:pos="1129"/>
        </w:tabs>
        <w:bidi w:val="0"/>
        <w:spacing w:before="0" w:after="0" w:line="408" w:lineRule="auto"/>
        <w:ind w:left="0" w:right="0" w:firstLine="620"/>
        <w:jc w:val="both"/>
        <w:rPr>
          <w:b w:val="0"/>
          <w:bCs w:val="0"/>
        </w:rPr>
      </w:pPr>
      <w:r>
        <w:rPr>
          <w:rFonts w:hint="eastAsia" w:asciiTheme="minorEastAsia" w:hAnsiTheme="minorEastAsia" w:eastAsiaTheme="minorEastAsia" w:cstheme="minorEastAsia"/>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科研成果相同者，按照入学考试（初试）成绩排序。</w:t>
      </w:r>
    </w:p>
    <w:p>
      <w:pPr>
        <w:pStyle w:val="13"/>
        <w:keepNext w:val="0"/>
        <w:keepLines w:val="0"/>
        <w:widowControl w:val="0"/>
        <w:shd w:val="clear" w:color="auto" w:fill="auto"/>
        <w:tabs>
          <w:tab w:val="left" w:pos="868"/>
        </w:tabs>
        <w:bidi w:val="0"/>
        <w:spacing w:before="0" w:after="0" w:line="408" w:lineRule="auto"/>
        <w:ind w:left="0" w:right="0" w:firstLine="480"/>
        <w:jc w:val="both"/>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上述各等级学业奖学金，在生源类别内未用完的指标，可以逐类调剂。</w:t>
      </w:r>
    </w:p>
    <w:p>
      <w:pPr>
        <w:pStyle w:val="13"/>
        <w:keepNext w:val="0"/>
        <w:keepLines w:val="0"/>
        <w:widowControl w:val="0"/>
        <w:shd w:val="clear" w:color="auto" w:fill="auto"/>
        <w:bidi w:val="0"/>
        <w:spacing w:before="0" w:after="0" w:line="468" w:lineRule="exact"/>
        <w:ind w:left="0" w:right="0" w:firstLine="480"/>
        <w:jc w:val="both"/>
        <w:rPr>
          <w:b w:val="0"/>
          <w:bCs w:val="0"/>
        </w:rPr>
      </w:pPr>
      <w:r>
        <w:rPr>
          <w:b w:val="0"/>
          <w:bCs w:val="0"/>
          <w:color w:val="000000"/>
          <w:spacing w:val="0"/>
          <w:w w:val="100"/>
          <w:position w:val="0"/>
          <w:shd w:val="clear" w:color="auto" w:fill="auto"/>
        </w:rPr>
        <w:t>第十一条参评研究成果界定</w:t>
      </w:r>
    </w:p>
    <w:p>
      <w:pPr>
        <w:pStyle w:val="13"/>
        <w:keepNext w:val="0"/>
        <w:keepLines w:val="0"/>
        <w:widowControl w:val="0"/>
        <w:shd w:val="clear" w:color="auto" w:fill="auto"/>
        <w:bidi w:val="0"/>
        <w:spacing w:before="0" w:after="180" w:line="474" w:lineRule="exact"/>
        <w:ind w:left="0" w:right="0" w:firstLine="480"/>
        <w:jc w:val="both"/>
        <w:rPr>
          <w:b w:val="0"/>
          <w:bCs w:val="0"/>
        </w:rPr>
      </w:pPr>
      <w:r>
        <w:rPr>
          <w:b w:val="0"/>
          <w:bCs w:val="0"/>
          <w:color w:val="000000"/>
          <w:spacing w:val="0"/>
          <w:w w:val="100"/>
          <w:position w:val="0"/>
          <w:shd w:val="clear" w:color="auto" w:fill="auto"/>
        </w:rPr>
        <w:t>高水平外文期刊指被</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SSCI</w:t>
      </w:r>
      <w:r>
        <w:rPr>
          <w:b w:val="0"/>
          <w:bCs w:val="0"/>
          <w:color w:val="000000"/>
          <w:spacing w:val="0"/>
          <w:w w:val="100"/>
          <w:position w:val="0"/>
          <w:shd w:val="clear" w:color="auto" w:fill="auto"/>
        </w:rPr>
        <w:t>或</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SCI</w:t>
      </w:r>
      <w:r>
        <w:rPr>
          <w:b w:val="0"/>
          <w:bCs w:val="0"/>
          <w:color w:val="000000"/>
          <w:spacing w:val="0"/>
          <w:w w:val="100"/>
          <w:position w:val="0"/>
          <w:shd w:val="clear" w:color="auto" w:fill="auto"/>
        </w:rPr>
        <w:t>或</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EI</w:t>
      </w:r>
      <w:r>
        <w:rPr>
          <w:b w:val="0"/>
          <w:bCs w:val="0"/>
          <w:color w:val="000000"/>
          <w:spacing w:val="0"/>
          <w:w w:val="100"/>
          <w:position w:val="0"/>
          <w:shd w:val="clear" w:color="auto" w:fill="auto"/>
        </w:rPr>
        <w:t>收录的正式刊物，以图书馆出具的最新收录证明为准。中文核心期刊以北京大学出版社《中文核心期刊要目总览》（参评年度最新版）为准，</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CSSCI</w:t>
      </w:r>
      <w:r>
        <w:rPr>
          <w:b w:val="0"/>
          <w:bCs w:val="0"/>
          <w:color w:val="000000"/>
          <w:spacing w:val="0"/>
          <w:w w:val="100"/>
          <w:position w:val="0"/>
          <w:shd w:val="clear" w:color="auto" w:fill="auto"/>
        </w:rPr>
        <w:t>期刊以中文社会科学引文索引（参评年度</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CSSCI</w:t>
      </w:r>
      <w:r>
        <w:rPr>
          <w:b w:val="0"/>
          <w:bCs w:val="0"/>
          <w:color w:val="000000"/>
          <w:spacing w:val="0"/>
          <w:w w:val="100"/>
          <w:position w:val="0"/>
          <w:shd w:val="clear" w:color="auto" w:fill="auto"/>
        </w:rPr>
        <w:t>最新版）来源期刊为准。</w:t>
      </w:r>
    </w:p>
    <w:p>
      <w:pPr>
        <w:pStyle w:val="13"/>
        <w:keepNext w:val="0"/>
        <w:keepLines w:val="0"/>
        <w:widowControl w:val="0"/>
        <w:shd w:val="clear" w:color="auto" w:fill="auto"/>
        <w:bidi w:val="0"/>
        <w:spacing w:before="0" w:after="80" w:line="240" w:lineRule="auto"/>
        <w:ind w:left="0" w:right="0" w:firstLine="480"/>
        <w:jc w:val="both"/>
        <w:rPr>
          <w:b w:val="0"/>
          <w:bCs w:val="0"/>
        </w:rPr>
      </w:pPr>
      <w:r>
        <w:rPr>
          <w:b w:val="0"/>
          <w:bCs w:val="0"/>
          <w:color w:val="000000"/>
          <w:spacing w:val="0"/>
          <w:w w:val="100"/>
          <w:position w:val="0"/>
          <w:shd w:val="clear" w:color="auto" w:fill="auto"/>
        </w:rPr>
        <w:t>第十二条参评研究成果时间界定</w:t>
      </w:r>
    </w:p>
    <w:p>
      <w:pPr>
        <w:pStyle w:val="13"/>
        <w:keepNext w:val="0"/>
        <w:keepLines w:val="0"/>
        <w:widowControl w:val="0"/>
        <w:shd w:val="clear" w:color="auto" w:fill="auto"/>
        <w:bidi w:val="0"/>
        <w:spacing w:before="0" w:after="420" w:line="468" w:lineRule="exact"/>
        <w:ind w:left="0" w:right="0" w:firstLine="480"/>
        <w:jc w:val="both"/>
        <w:rPr>
          <w:b w:val="0"/>
          <w:bCs w:val="0"/>
        </w:rPr>
      </w:pPr>
      <w:r>
        <w:rPr>
          <w:b w:val="0"/>
          <w:bCs w:val="0"/>
          <w:color w:val="000000"/>
          <w:spacing w:val="0"/>
          <w:w w:val="100"/>
          <w:position w:val="0"/>
          <w:shd w:val="clear" w:color="auto" w:fill="auto"/>
        </w:rPr>
        <w:t>博士新生申请学业奖学金的研究成果应为硕士期间至参评当年度</w:t>
      </w:r>
      <w:r>
        <w:rPr>
          <w:rFonts w:ascii="Times New Roman" w:hAnsi="Times New Roman" w:eastAsia="Times New Roman" w:cs="Times New Roman"/>
          <w:b w:val="0"/>
          <w:bCs w:val="0"/>
          <w:color w:val="000000"/>
          <w:spacing w:val="0"/>
          <w:w w:val="100"/>
          <w:position w:val="0"/>
          <w:sz w:val="24"/>
          <w:szCs w:val="24"/>
          <w:shd w:val="clear" w:color="auto" w:fill="auto"/>
        </w:rPr>
        <w:t>8</w:t>
      </w:r>
      <w:r>
        <w:rPr>
          <w:b w:val="0"/>
          <w:bCs w:val="0"/>
          <w:color w:val="000000"/>
          <w:spacing w:val="0"/>
          <w:w w:val="100"/>
          <w:position w:val="0"/>
          <w:shd w:val="clear" w:color="auto" w:fill="auto"/>
        </w:rPr>
        <w:t>月</w:t>
      </w:r>
      <w:r>
        <w:rPr>
          <w:rFonts w:ascii="Times New Roman" w:hAnsi="Times New Roman" w:eastAsia="Times New Roman" w:cs="Times New Roman"/>
          <w:b w:val="0"/>
          <w:bCs w:val="0"/>
          <w:color w:val="000000"/>
          <w:spacing w:val="0"/>
          <w:w w:val="100"/>
          <w:position w:val="0"/>
          <w:sz w:val="24"/>
          <w:szCs w:val="24"/>
          <w:shd w:val="clear" w:color="auto" w:fill="auto"/>
        </w:rPr>
        <w:t>31</w:t>
      </w:r>
      <w:r>
        <w:rPr>
          <w:b w:val="0"/>
          <w:bCs w:val="0"/>
          <w:color w:val="000000"/>
          <w:spacing w:val="0"/>
          <w:w w:val="100"/>
          <w:position w:val="0"/>
          <w:shd w:val="clear" w:color="auto" w:fill="auto"/>
        </w:rPr>
        <w:t>日前所获得的研究成果。硕士新生申请学业奖学金的研究成果应为本科期间至参评当年度</w:t>
      </w:r>
      <w:r>
        <w:rPr>
          <w:rFonts w:ascii="Times New Roman" w:hAnsi="Times New Roman" w:eastAsia="Times New Roman" w:cs="Times New Roman"/>
          <w:b w:val="0"/>
          <w:bCs w:val="0"/>
          <w:color w:val="000000"/>
          <w:spacing w:val="0"/>
          <w:w w:val="100"/>
          <w:position w:val="0"/>
          <w:sz w:val="24"/>
          <w:szCs w:val="24"/>
          <w:shd w:val="clear" w:color="auto" w:fill="auto"/>
        </w:rPr>
        <w:t>8</w:t>
      </w:r>
      <w:r>
        <w:rPr>
          <w:b w:val="0"/>
          <w:bCs w:val="0"/>
          <w:color w:val="000000"/>
          <w:spacing w:val="0"/>
          <w:w w:val="100"/>
          <w:position w:val="0"/>
          <w:shd w:val="clear" w:color="auto" w:fill="auto"/>
        </w:rPr>
        <w:t>月</w:t>
      </w:r>
      <w:r>
        <w:rPr>
          <w:rFonts w:ascii="Times New Roman" w:hAnsi="Times New Roman" w:eastAsia="Times New Roman" w:cs="Times New Roman"/>
          <w:b w:val="0"/>
          <w:bCs w:val="0"/>
          <w:color w:val="000000"/>
          <w:spacing w:val="0"/>
          <w:w w:val="100"/>
          <w:position w:val="0"/>
          <w:sz w:val="24"/>
          <w:szCs w:val="24"/>
          <w:shd w:val="clear" w:color="auto" w:fill="auto"/>
        </w:rPr>
        <w:t>31</w:t>
      </w:r>
      <w:r>
        <w:rPr>
          <w:b w:val="0"/>
          <w:bCs w:val="0"/>
          <w:color w:val="000000"/>
          <w:spacing w:val="0"/>
          <w:w w:val="100"/>
          <w:position w:val="0"/>
          <w:shd w:val="clear" w:color="auto" w:fill="auto"/>
        </w:rPr>
        <w:t>日前所获得的研究成果。</w:t>
      </w:r>
    </w:p>
    <w:p>
      <w:pPr>
        <w:pStyle w:val="11"/>
        <w:keepNext/>
        <w:keepLines/>
        <w:widowControl w:val="0"/>
        <w:shd w:val="clear" w:color="auto" w:fill="auto"/>
        <w:bidi w:val="0"/>
        <w:spacing w:before="0" w:after="160" w:line="240" w:lineRule="auto"/>
        <w:ind w:left="0" w:right="0" w:firstLine="0"/>
        <w:jc w:val="center"/>
        <w:rPr>
          <w:b w:val="0"/>
          <w:bCs w:val="0"/>
        </w:rPr>
      </w:pPr>
      <w:bookmarkStart w:id="12" w:name="bookmark12"/>
      <w:bookmarkStart w:id="13" w:name="bookmark13"/>
      <w:r>
        <w:rPr>
          <w:b w:val="0"/>
          <w:bCs w:val="0"/>
          <w:color w:val="000000"/>
          <w:spacing w:val="0"/>
          <w:w w:val="100"/>
          <w:position w:val="0"/>
          <w:shd w:val="clear" w:color="auto" w:fill="auto"/>
        </w:rPr>
        <w:t>第五章评审程序</w:t>
      </w:r>
      <w:bookmarkEnd w:id="12"/>
      <w:bookmarkEnd w:id="13"/>
    </w:p>
    <w:p>
      <w:pPr>
        <w:pStyle w:val="13"/>
        <w:keepNext w:val="0"/>
        <w:keepLines w:val="0"/>
        <w:widowControl w:val="0"/>
        <w:shd w:val="clear" w:color="auto" w:fill="auto"/>
        <w:bidi w:val="0"/>
        <w:spacing w:before="0" w:after="0" w:line="473" w:lineRule="exact"/>
        <w:ind w:left="0" w:right="0" w:firstLine="480"/>
        <w:jc w:val="both"/>
        <w:rPr>
          <w:b w:val="0"/>
          <w:bCs w:val="0"/>
        </w:rPr>
      </w:pPr>
      <w:r>
        <w:rPr>
          <w:b w:val="0"/>
          <w:bCs w:val="0"/>
          <w:color w:val="000000"/>
          <w:spacing w:val="0"/>
          <w:w w:val="100"/>
          <w:position w:val="0"/>
          <w:shd w:val="clear" w:color="auto" w:fill="auto"/>
        </w:rPr>
        <w:t>第十三条个人申请</w:t>
      </w:r>
    </w:p>
    <w:p>
      <w:pPr>
        <w:pStyle w:val="13"/>
        <w:keepNext w:val="0"/>
        <w:keepLines w:val="0"/>
        <w:widowControl w:val="0"/>
        <w:shd w:val="clear" w:color="auto" w:fill="auto"/>
        <w:bidi w:val="0"/>
        <w:spacing w:before="0" w:after="0" w:line="473" w:lineRule="exact"/>
        <w:ind w:left="0" w:right="0" w:firstLine="480"/>
        <w:jc w:val="both"/>
        <w:rPr>
          <w:b w:val="0"/>
          <w:bCs w:val="0"/>
        </w:rPr>
      </w:pPr>
      <w:r>
        <w:rPr>
          <w:b w:val="0"/>
          <w:bCs w:val="0"/>
          <w:color w:val="000000"/>
          <w:spacing w:val="0"/>
          <w:w w:val="100"/>
          <w:position w:val="0"/>
          <w:shd w:val="clear" w:color="auto" w:fill="auto"/>
        </w:rPr>
        <w:t>由研究生本人在规定时间内，如实填写《华南农业大学研究生学业奖学金评审表》，并提供相关材料原件、证明及复印件，向评审委员会提出申请。未按时提交申请的，视为自动放弃申请学业奖学金。</w:t>
      </w:r>
    </w:p>
    <w:p>
      <w:pPr>
        <w:pStyle w:val="13"/>
        <w:keepNext w:val="0"/>
        <w:keepLines w:val="0"/>
        <w:widowControl w:val="0"/>
        <w:shd w:val="clear" w:color="auto" w:fill="auto"/>
        <w:bidi w:val="0"/>
        <w:spacing w:before="0" w:after="0" w:line="473" w:lineRule="exact"/>
        <w:ind w:left="0" w:right="0" w:firstLine="480"/>
        <w:jc w:val="both"/>
        <w:rPr>
          <w:b w:val="0"/>
          <w:bCs w:val="0"/>
        </w:rPr>
      </w:pPr>
      <w:r>
        <w:rPr>
          <w:b w:val="0"/>
          <w:bCs w:val="0"/>
          <w:color w:val="000000"/>
          <w:spacing w:val="0"/>
          <w:w w:val="100"/>
          <w:position w:val="0"/>
          <w:shd w:val="clear" w:color="auto" w:fill="auto"/>
        </w:rPr>
        <w:t>第十四条学院评审</w:t>
      </w:r>
    </w:p>
    <w:p>
      <w:pPr>
        <w:pStyle w:val="13"/>
        <w:keepNext w:val="0"/>
        <w:keepLines w:val="0"/>
        <w:widowControl w:val="0"/>
        <w:shd w:val="clear" w:color="auto" w:fill="auto"/>
        <w:bidi w:val="0"/>
        <w:spacing w:before="0" w:after="0" w:line="473" w:lineRule="exact"/>
        <w:ind w:left="0" w:right="0" w:firstLine="480"/>
        <w:jc w:val="both"/>
        <w:rPr>
          <w:b w:val="0"/>
          <w:bCs w:val="0"/>
        </w:rPr>
      </w:pPr>
      <w:r>
        <w:rPr>
          <w:b w:val="0"/>
          <w:bCs w:val="0"/>
          <w:color w:val="000000"/>
          <w:spacing w:val="0"/>
          <w:w w:val="100"/>
          <w:position w:val="0"/>
          <w:shd w:val="clear" w:color="auto" w:fill="auto"/>
        </w:rPr>
        <w:t>经学院评审委员会初评，确定获奖研究生名单，并将评审结果公示不少于</w:t>
      </w:r>
      <w:r>
        <w:rPr>
          <w:rFonts w:ascii="Times New Roman" w:hAnsi="Times New Roman" w:eastAsia="Times New Roman" w:cs="Times New Roman"/>
          <w:b w:val="0"/>
          <w:bCs w:val="0"/>
          <w:color w:val="000000"/>
          <w:spacing w:val="0"/>
          <w:w w:val="100"/>
          <w:position w:val="0"/>
          <w:sz w:val="24"/>
          <w:szCs w:val="24"/>
          <w:shd w:val="clear" w:color="auto" w:fill="auto"/>
        </w:rPr>
        <w:t>5</w:t>
      </w:r>
      <w:r>
        <w:rPr>
          <w:b w:val="0"/>
          <w:bCs w:val="0"/>
          <w:color w:val="000000"/>
          <w:spacing w:val="0"/>
          <w:w w:val="100"/>
          <w:position w:val="0"/>
          <w:shd w:val="clear" w:color="auto" w:fill="auto"/>
        </w:rPr>
        <w:t>个工作日，无异议后上报研究生院。</w:t>
      </w:r>
    </w:p>
    <w:p>
      <w:pPr>
        <w:pStyle w:val="13"/>
        <w:keepNext w:val="0"/>
        <w:keepLines w:val="0"/>
        <w:widowControl w:val="0"/>
        <w:shd w:val="clear" w:color="auto" w:fill="auto"/>
        <w:bidi w:val="0"/>
        <w:spacing w:before="0" w:after="40" w:line="473" w:lineRule="exact"/>
        <w:ind w:left="0" w:right="0" w:firstLine="480"/>
        <w:jc w:val="both"/>
        <w:rPr>
          <w:b w:val="0"/>
          <w:bCs w:val="0"/>
        </w:rPr>
      </w:pPr>
      <w:r>
        <w:rPr>
          <w:b w:val="0"/>
          <w:bCs w:val="0"/>
          <w:color w:val="000000"/>
          <w:spacing w:val="0"/>
          <w:w w:val="100"/>
          <w:position w:val="0"/>
          <w:shd w:val="clear" w:color="auto" w:fill="auto"/>
        </w:rPr>
        <w:t>第十五条申诉处理</w:t>
      </w:r>
    </w:p>
    <w:p>
      <w:pPr>
        <w:pStyle w:val="13"/>
        <w:keepNext w:val="0"/>
        <w:keepLines w:val="0"/>
        <w:widowControl w:val="0"/>
        <w:shd w:val="clear" w:color="auto" w:fill="auto"/>
        <w:bidi w:val="0"/>
        <w:spacing w:before="0" w:after="40" w:line="414" w:lineRule="exact"/>
        <w:ind w:left="0" w:right="0" w:firstLine="480"/>
        <w:jc w:val="both"/>
        <w:rPr>
          <w:b w:val="0"/>
          <w:bCs w:val="0"/>
        </w:rPr>
      </w:pPr>
      <w:r>
        <w:rPr>
          <w:b w:val="0"/>
          <w:bCs w:val="0"/>
          <w:color w:val="000000"/>
          <w:spacing w:val="0"/>
          <w:w w:val="100"/>
          <w:position w:val="0"/>
          <w:shd w:val="clear" w:color="auto" w:fill="auto"/>
        </w:rPr>
        <w:t>在学院公示阶段，如研究生对学业奖学金评审结果有异议的，可在学院公示期间向学院学业奖学金评审委员会提出申诉。</w:t>
      </w:r>
    </w:p>
    <w:p>
      <w:pPr>
        <w:pStyle w:val="13"/>
        <w:keepNext w:val="0"/>
        <w:keepLines w:val="0"/>
        <w:widowControl w:val="0"/>
        <w:shd w:val="clear" w:color="auto" w:fill="auto"/>
        <w:bidi w:val="0"/>
        <w:spacing w:before="0" w:after="0" w:line="471" w:lineRule="exact"/>
        <w:ind w:left="0" w:right="0" w:firstLine="480"/>
        <w:jc w:val="both"/>
        <w:rPr>
          <w:b w:val="0"/>
          <w:bCs w:val="0"/>
        </w:rPr>
      </w:pPr>
      <w:r>
        <w:rPr>
          <w:b w:val="0"/>
          <w:bCs w:val="0"/>
          <w:color w:val="000000"/>
          <w:spacing w:val="0"/>
          <w:w w:val="100"/>
          <w:position w:val="0"/>
          <w:shd w:val="clear" w:color="auto" w:fill="auto"/>
        </w:rPr>
        <w:t>第十六条违纪处理</w:t>
      </w:r>
    </w:p>
    <w:p>
      <w:pPr>
        <w:pStyle w:val="13"/>
        <w:keepNext w:val="0"/>
        <w:keepLines w:val="0"/>
        <w:widowControl w:val="0"/>
        <w:shd w:val="clear" w:color="auto" w:fill="auto"/>
        <w:bidi w:val="0"/>
        <w:spacing w:before="0" w:after="340" w:line="471" w:lineRule="exact"/>
        <w:ind w:left="0" w:right="0" w:firstLine="480"/>
        <w:jc w:val="both"/>
        <w:rPr>
          <w:b w:val="0"/>
          <w:bCs w:val="0"/>
        </w:rPr>
      </w:pPr>
      <w:r>
        <w:rPr>
          <w:b w:val="0"/>
          <w:bCs w:val="0"/>
          <w:color w:val="000000"/>
          <w:spacing w:val="0"/>
          <w:w w:val="100"/>
          <w:position w:val="0"/>
          <w:shd w:val="clear" w:color="auto" w:fill="auto"/>
        </w:rPr>
        <w:t>研究生学业奖学金的评审工作，坚持公开、公平、公正、择优的原则，严格执行国家有关教育法规，严肃处理弄虚作假者。一经发现弄虚作假和其它违反校规校纪行为的，立即取消其已获得的荣誉证书、奖学金及其以后在读期间的一切评优资格，并根据《华南农业大学研究生违纪处分实施办法》(华南农办</w:t>
      </w:r>
      <w:r>
        <w:rPr>
          <w:rFonts w:ascii="Times New Roman" w:hAnsi="Times New Roman" w:eastAsia="Times New Roman" w:cs="Times New Roman"/>
          <w:b w:val="0"/>
          <w:bCs w:val="0"/>
          <w:color w:val="000000"/>
          <w:spacing w:val="0"/>
          <w:w w:val="100"/>
          <w:position w:val="0"/>
          <w:sz w:val="24"/>
          <w:szCs w:val="24"/>
          <w:shd w:val="clear" w:color="auto" w:fill="auto"/>
        </w:rPr>
        <w:t>(2010)83</w:t>
      </w:r>
      <w:r>
        <w:rPr>
          <w:b w:val="0"/>
          <w:bCs w:val="0"/>
          <w:color w:val="000000"/>
          <w:spacing w:val="0"/>
          <w:w w:val="100"/>
          <w:position w:val="0"/>
          <w:shd w:val="clear" w:color="auto" w:fill="auto"/>
        </w:rPr>
        <w:t>号)的规定给予严肃处理。</w:t>
      </w:r>
    </w:p>
    <w:p>
      <w:pPr>
        <w:pStyle w:val="11"/>
        <w:keepNext/>
        <w:keepLines/>
        <w:widowControl w:val="0"/>
        <w:shd w:val="clear" w:color="auto" w:fill="auto"/>
        <w:bidi w:val="0"/>
        <w:spacing w:before="0" w:after="220" w:line="240" w:lineRule="auto"/>
        <w:ind w:left="0" w:right="0" w:firstLine="0"/>
        <w:jc w:val="center"/>
        <w:rPr>
          <w:b w:val="0"/>
          <w:bCs w:val="0"/>
        </w:rPr>
      </w:pPr>
      <w:bookmarkStart w:id="14" w:name="bookmark15"/>
      <w:bookmarkStart w:id="15" w:name="bookmark14"/>
      <w:r>
        <w:rPr>
          <w:b w:val="0"/>
          <w:bCs w:val="0"/>
          <w:color w:val="000000"/>
          <w:spacing w:val="0"/>
          <w:w w:val="100"/>
          <w:position w:val="0"/>
          <w:shd w:val="clear" w:color="auto" w:fill="auto"/>
        </w:rPr>
        <w:t>第六章附则</w:t>
      </w:r>
      <w:bookmarkEnd w:id="14"/>
      <w:bookmarkEnd w:id="15"/>
    </w:p>
    <w:p>
      <w:pPr>
        <w:pStyle w:val="13"/>
        <w:keepNext w:val="0"/>
        <w:keepLines w:val="0"/>
        <w:widowControl w:val="0"/>
        <w:shd w:val="clear" w:color="auto" w:fill="auto"/>
        <w:bidi w:val="0"/>
        <w:spacing w:before="0" w:after="0" w:line="471" w:lineRule="exact"/>
        <w:ind w:left="0" w:right="0" w:firstLine="480"/>
        <w:jc w:val="both"/>
        <w:rPr>
          <w:b w:val="0"/>
          <w:bCs w:val="0"/>
        </w:rPr>
      </w:pPr>
      <w:r>
        <w:rPr>
          <w:b w:val="0"/>
          <w:bCs w:val="0"/>
          <w:color w:val="000000"/>
          <w:spacing w:val="0"/>
          <w:w w:val="100"/>
          <w:position w:val="0"/>
          <w:shd w:val="clear" w:color="auto" w:fill="auto"/>
        </w:rPr>
        <w:t>第十七条本办法由经济管理学院负责解释。</w:t>
      </w:r>
    </w:p>
    <w:p>
      <w:pPr>
        <w:pStyle w:val="13"/>
        <w:keepNext w:val="0"/>
        <w:keepLines w:val="0"/>
        <w:widowControl w:val="0"/>
        <w:shd w:val="clear" w:color="auto" w:fill="auto"/>
        <w:bidi w:val="0"/>
        <w:spacing w:before="0" w:after="820" w:line="468" w:lineRule="exact"/>
        <w:ind w:left="0" w:right="0" w:firstLine="480"/>
        <w:jc w:val="both"/>
        <w:rPr>
          <w:b w:val="0"/>
          <w:bCs w:val="0"/>
        </w:rPr>
      </w:pPr>
      <w:r>
        <w:rPr>
          <w:b w:val="0"/>
          <w:bCs w:val="0"/>
          <w:color w:val="000000"/>
          <w:spacing w:val="0"/>
          <w:w w:val="100"/>
          <w:position w:val="0"/>
          <w:shd w:val="clear" w:color="auto" w:fill="auto"/>
        </w:rPr>
        <w:t>第十八条本办法自</w:t>
      </w:r>
      <w:r>
        <w:rPr>
          <w:rFonts w:ascii="Times New Roman" w:hAnsi="Times New Roman" w:eastAsia="Times New Roman" w:cs="Times New Roman"/>
          <w:b w:val="0"/>
          <w:bCs w:val="0"/>
          <w:color w:val="000000"/>
          <w:spacing w:val="0"/>
          <w:w w:val="100"/>
          <w:position w:val="0"/>
          <w:sz w:val="24"/>
          <w:szCs w:val="24"/>
          <w:shd w:val="clear" w:color="auto" w:fill="auto"/>
        </w:rPr>
        <w:t>2014</w:t>
      </w:r>
      <w:r>
        <w:rPr>
          <w:b w:val="0"/>
          <w:bCs w:val="0"/>
          <w:color w:val="000000"/>
          <w:spacing w:val="0"/>
          <w:w w:val="100"/>
          <w:position w:val="0"/>
          <w:shd w:val="clear" w:color="auto" w:fill="auto"/>
        </w:rPr>
        <w:t>年制定，</w:t>
      </w:r>
      <w:r>
        <w:rPr>
          <w:rFonts w:ascii="Times New Roman" w:hAnsi="Times New Roman" w:eastAsia="Times New Roman" w:cs="Times New Roman"/>
          <w:b w:val="0"/>
          <w:bCs w:val="0"/>
          <w:color w:val="000000"/>
          <w:spacing w:val="0"/>
          <w:w w:val="100"/>
          <w:position w:val="0"/>
          <w:sz w:val="24"/>
          <w:szCs w:val="24"/>
          <w:shd w:val="clear" w:color="auto" w:fill="auto"/>
        </w:rPr>
        <w:t>2018</w:t>
      </w:r>
      <w:r>
        <w:rPr>
          <w:b w:val="0"/>
          <w:bCs w:val="0"/>
          <w:color w:val="000000"/>
          <w:spacing w:val="0"/>
          <w:w w:val="100"/>
          <w:position w:val="0"/>
          <w:shd w:val="clear" w:color="auto" w:fill="auto"/>
        </w:rPr>
        <w:t>年进行第一次修订，</w:t>
      </w:r>
      <w:r>
        <w:rPr>
          <w:rFonts w:ascii="Times New Roman" w:hAnsi="Times New Roman" w:eastAsia="Times New Roman" w:cs="Times New Roman"/>
          <w:b w:val="0"/>
          <w:bCs w:val="0"/>
          <w:color w:val="000000"/>
          <w:spacing w:val="0"/>
          <w:w w:val="100"/>
          <w:position w:val="0"/>
          <w:sz w:val="24"/>
          <w:szCs w:val="24"/>
          <w:shd w:val="clear" w:color="auto" w:fill="auto"/>
        </w:rPr>
        <w:t>2019</w:t>
      </w:r>
      <w:r>
        <w:rPr>
          <w:b w:val="0"/>
          <w:bCs w:val="0"/>
          <w:color w:val="000000"/>
          <w:spacing w:val="0"/>
          <w:w w:val="100"/>
          <w:position w:val="0"/>
          <w:shd w:val="clear" w:color="auto" w:fill="auto"/>
        </w:rPr>
        <w:t>年进行第二次修订</w:t>
      </w:r>
      <w:r>
        <w:rPr>
          <w:rFonts w:hint="eastAsia" w:eastAsia="宋体"/>
          <w:b w:val="0"/>
          <w:bCs w:val="0"/>
          <w:color w:val="000000"/>
          <w:spacing w:val="0"/>
          <w:w w:val="100"/>
          <w:position w:val="0"/>
          <w:shd w:val="clear" w:color="auto" w:fill="auto"/>
          <w:lang w:eastAsia="zh-CN"/>
        </w:rPr>
        <w:t>，</w:t>
      </w:r>
      <w:r>
        <w:rPr>
          <w:rFonts w:hint="eastAsia" w:ascii="Times New Roman" w:hAnsi="Times New Roman" w:eastAsia="Times New Roman" w:cs="Times New Roman"/>
          <w:b w:val="0"/>
          <w:bCs w:val="0"/>
          <w:color w:val="000000"/>
          <w:spacing w:val="0"/>
          <w:w w:val="100"/>
          <w:position w:val="0"/>
          <w:sz w:val="24"/>
          <w:szCs w:val="24"/>
          <w:shd w:val="clear" w:color="auto" w:fill="auto"/>
          <w:lang w:val="en-US" w:eastAsia="zh-CN"/>
        </w:rPr>
        <w:t>2022</w:t>
      </w:r>
      <w:r>
        <w:rPr>
          <w:rFonts w:hint="eastAsia" w:eastAsia="宋体"/>
          <w:b w:val="0"/>
          <w:bCs w:val="0"/>
          <w:color w:val="000000"/>
          <w:spacing w:val="0"/>
          <w:w w:val="100"/>
          <w:position w:val="0"/>
          <w:shd w:val="clear" w:color="auto" w:fill="auto"/>
          <w:lang w:val="en-US" w:eastAsia="zh-CN"/>
        </w:rPr>
        <w:t>年进行第三次修订</w:t>
      </w:r>
      <w:r>
        <w:rPr>
          <w:b w:val="0"/>
          <w:bCs w:val="0"/>
          <w:color w:val="000000"/>
          <w:spacing w:val="0"/>
          <w:w w:val="100"/>
          <w:position w:val="0"/>
          <w:shd w:val="clear" w:color="auto" w:fill="auto"/>
        </w:rPr>
        <w:t>。从修订公布之日起执行，适用于</w:t>
      </w:r>
      <w:r>
        <w:rPr>
          <w:rFonts w:ascii="Times New Roman" w:hAnsi="Times New Roman" w:eastAsia="Times New Roman" w:cs="Times New Roman"/>
          <w:b w:val="0"/>
          <w:bCs w:val="0"/>
          <w:color w:val="000000"/>
          <w:spacing w:val="0"/>
          <w:w w:val="100"/>
          <w:position w:val="0"/>
          <w:sz w:val="24"/>
          <w:szCs w:val="24"/>
          <w:shd w:val="clear" w:color="auto" w:fill="auto"/>
        </w:rPr>
        <w:t>202</w:t>
      </w: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2</w:t>
      </w:r>
      <w:r>
        <w:rPr>
          <w:b w:val="0"/>
          <w:bCs w:val="0"/>
          <w:color w:val="000000"/>
          <w:spacing w:val="0"/>
          <w:w w:val="100"/>
          <w:position w:val="0"/>
          <w:shd w:val="clear" w:color="auto" w:fill="auto"/>
        </w:rPr>
        <w:t>年</w:t>
      </w:r>
      <w:r>
        <w:rPr>
          <w:rFonts w:ascii="Times New Roman" w:hAnsi="Times New Roman" w:eastAsia="Times New Roman" w:cs="Times New Roman"/>
          <w:b w:val="0"/>
          <w:bCs w:val="0"/>
          <w:color w:val="000000"/>
          <w:spacing w:val="0"/>
          <w:w w:val="100"/>
          <w:position w:val="0"/>
          <w:sz w:val="24"/>
          <w:szCs w:val="24"/>
          <w:shd w:val="clear" w:color="auto" w:fill="auto"/>
        </w:rPr>
        <w:t>9</w:t>
      </w:r>
      <w:r>
        <w:rPr>
          <w:b w:val="0"/>
          <w:bCs w:val="0"/>
          <w:color w:val="000000"/>
          <w:spacing w:val="0"/>
          <w:w w:val="100"/>
          <w:position w:val="0"/>
          <w:shd w:val="clear" w:color="auto" w:fill="auto"/>
        </w:rPr>
        <w:t>月</w:t>
      </w: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日后入学的研究生。</w:t>
      </w:r>
    </w:p>
    <w:p>
      <w:pPr>
        <w:pStyle w:val="13"/>
        <w:keepNext w:val="0"/>
        <w:keepLines w:val="0"/>
        <w:widowControl w:val="0"/>
        <w:shd w:val="clear" w:color="auto" w:fill="auto"/>
        <w:bidi w:val="0"/>
        <w:spacing w:before="0" w:after="160" w:line="240" w:lineRule="auto"/>
        <w:ind w:left="0" w:right="380" w:firstLine="0"/>
        <w:jc w:val="right"/>
        <w:rPr>
          <w:b w:val="0"/>
          <w:bCs w:val="0"/>
        </w:rPr>
      </w:pPr>
      <w:r>
        <w:rPr>
          <w:b w:val="0"/>
          <w:bCs w:val="0"/>
          <w:color w:val="000000"/>
          <w:spacing w:val="0"/>
          <w:w w:val="100"/>
          <w:position w:val="0"/>
          <w:shd w:val="clear" w:color="auto" w:fill="auto"/>
        </w:rPr>
        <w:t>华南农业大学经济管理学院</w:t>
      </w:r>
    </w:p>
    <w:p>
      <w:pPr>
        <w:pStyle w:val="19"/>
        <w:keepNext w:val="0"/>
        <w:keepLines w:val="0"/>
        <w:widowControl w:val="0"/>
        <w:shd w:val="clear" w:color="auto" w:fill="auto"/>
        <w:bidi w:val="0"/>
        <w:spacing w:before="0" w:line="240" w:lineRule="auto"/>
        <w:ind w:left="0" w:firstLine="0"/>
        <w:jc w:val="right"/>
        <w:rPr>
          <w:b w:val="0"/>
          <w:bCs w:val="0"/>
          <w:sz w:val="22"/>
          <w:szCs w:val="22"/>
        </w:rPr>
      </w:pPr>
      <w:r>
        <w:rPr>
          <w:b w:val="0"/>
          <w:bCs w:val="0"/>
          <w:color w:val="000000"/>
          <w:spacing w:val="0"/>
          <w:w w:val="100"/>
          <w:position w:val="0"/>
          <w:sz w:val="24"/>
          <w:szCs w:val="24"/>
          <w:shd w:val="clear" w:color="auto" w:fill="auto"/>
        </w:rPr>
        <w:t>202</w:t>
      </w:r>
      <w:r>
        <w:rPr>
          <w:rFonts w:hint="eastAsia" w:eastAsia="宋体"/>
          <w:b w:val="0"/>
          <w:bCs w:val="0"/>
          <w:color w:val="000000"/>
          <w:spacing w:val="0"/>
          <w:w w:val="100"/>
          <w:position w:val="0"/>
          <w:sz w:val="24"/>
          <w:szCs w:val="24"/>
          <w:shd w:val="clear" w:color="auto" w:fill="auto"/>
          <w:lang w:val="en-US" w:eastAsia="zh-CN"/>
        </w:rPr>
        <w:t>2</w:t>
      </w:r>
      <w:r>
        <w:rPr>
          <w:rFonts w:ascii="MingLiU" w:hAnsi="MingLiU" w:eastAsia="MingLiU" w:cs="MingLiU"/>
          <w:b w:val="0"/>
          <w:bCs w:val="0"/>
          <w:color w:val="000000"/>
          <w:spacing w:val="0"/>
          <w:w w:val="100"/>
          <w:position w:val="0"/>
          <w:sz w:val="22"/>
          <w:szCs w:val="22"/>
          <w:shd w:val="clear" w:color="auto" w:fill="auto"/>
        </w:rPr>
        <w:t>年</w:t>
      </w:r>
      <w:r>
        <w:rPr>
          <w:rFonts w:hint="eastAsia" w:ascii="Times New Roman" w:hAnsi="Times New Roman" w:eastAsia="Times New Roman" w:cs="Times New Roman"/>
          <w:b w:val="0"/>
          <w:bCs w:val="0"/>
          <w:color w:val="000000"/>
          <w:spacing w:val="0"/>
          <w:w w:val="100"/>
          <w:position w:val="0"/>
          <w:sz w:val="24"/>
          <w:szCs w:val="24"/>
          <w:u w:val="none"/>
          <w:shd w:val="clear" w:color="auto" w:fill="auto"/>
          <w:lang w:val="en-US" w:eastAsia="zh-CN" w:bidi="zh-CN"/>
        </w:rPr>
        <w:t>9月6日</w:t>
      </w:r>
    </w:p>
    <w:sectPr>
      <w:footerReference r:id="rId5" w:type="default"/>
      <w:footnotePr>
        <w:numFmt w:val="decimal"/>
      </w:footnotePr>
      <w:pgSz w:w="11900" w:h="16840"/>
      <w:pgMar w:top="1307" w:right="1655" w:bottom="1606" w:left="1558" w:header="879" w:footer="3" w:gutter="0"/>
      <w:pgNumType w:start="19"/>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JhengHei Light">
    <w:panose1 w:val="020B0304030504040204"/>
    <w:charset w:val="88"/>
    <w:family w:val="auto"/>
    <w:pitch w:val="default"/>
    <w:sig w:usb0="800002A7" w:usb1="28CF4400" w:usb2="00000016" w:usb3="00000000" w:csb0="00100009" w:csb1="00000000"/>
  </w:font>
  <w:font w:name="Guli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3696335</wp:posOffset>
              </wp:positionH>
              <wp:positionV relativeFrom="page">
                <wp:posOffset>9935210</wp:posOffset>
              </wp:positionV>
              <wp:extent cx="114300" cy="93980"/>
              <wp:effectExtent l="0" t="0" r="0" b="0"/>
              <wp:wrapNone/>
              <wp:docPr id="1" name="Shape 1"/>
              <wp:cNvGraphicFramePr/>
              <a:graphic xmlns:a="http://schemas.openxmlformats.org/drawingml/2006/main">
                <a:graphicData uri="http://schemas.microsoft.com/office/word/2010/wordprocessingShape">
                  <wps:wsp>
                    <wps:cNvSpPr txBox="1"/>
                    <wps:spPr>
                      <a:xfrm>
                        <a:off x="0" y="0"/>
                        <a:ext cx="114300" cy="93980"/>
                      </a:xfrm>
                      <a:prstGeom prst="rect">
                        <a:avLst/>
                      </a:prstGeom>
                      <a:noFill/>
                    </wps:spPr>
                    <wps:txbx>
                      <w:txbxContent>
                        <w:p>
                          <w:pPr>
                            <w:pStyle w:val="7"/>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color w:val="000000"/>
                              <w:spacing w:val="0"/>
                              <w:w w:val="100"/>
                              <w:position w:val="0"/>
                              <w:shd w:val="clear" w:color="auto" w:fill="auto"/>
                            </w:rPr>
                            <w:t>#</w:t>
                          </w:r>
                          <w:r>
                            <w:rPr>
                              <w:color w:val="000000"/>
                              <w:spacing w:val="0"/>
                              <w:w w:val="100"/>
                              <w:position w:val="0"/>
                              <w:shd w:val="clear" w:color="auto" w:fill="auto"/>
                            </w:rPr>
                            <w:fldChar w:fldCharType="end"/>
                          </w:r>
                        </w:p>
                      </w:txbxContent>
                    </wps:txbx>
                    <wps:bodyPr wrap="none" lIns="0" tIns="0" rIns="0" bIns="0">
                      <a:spAutoFit/>
                    </wps:bodyPr>
                  </wps:wsp>
                </a:graphicData>
              </a:graphic>
            </wp:anchor>
          </w:drawing>
        </mc:Choice>
        <mc:Fallback>
          <w:pict>
            <v:shape id="Shape 1" o:spid="_x0000_s1026" o:spt="202" type="#_x0000_t202" style="position:absolute;left:0pt;margin-left:291.05pt;margin-top:782.3pt;height:7.4pt;width:9pt;mso-position-horizontal-relative:page;mso-position-vertical-relative:page;mso-wrap-style:none;z-index:-251657216;mso-width-relative:page;mso-height-relative:page;" filled="f" stroked="f" coordsize="21600,21600" o:gfxdata="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tSL5b9cAAAAN&#10;AQAADwAAAAAAAAABACAAAAAiAAAAZHJzL2Rvd25yZXYueG1sUEsBAhQAFAAAAAgAh07iQMFaEICr&#10;AQAAbgMAAA4AAAAAAAAAAQAgAAAAJgEAAGRycy9lMm9Eb2MueG1sUEsFBgAAAAAGAAYAWQEAAEMF&#10;AAAAAA==&#10;">
              <v:fill on="f" focussize="0,0"/>
              <v:stroke on="f"/>
              <v:imagedata o:title=""/>
              <o:lock v:ext="edit" aspectratio="f"/>
              <v:textbox inset="0mm,0mm,0mm,0mm" style="mso-fit-shape-to-text:t;">
                <w:txbxContent>
                  <w:p>
                    <w:pPr>
                      <w:pStyle w:val="7"/>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color w:val="000000"/>
                        <w:spacing w:val="0"/>
                        <w:w w:val="100"/>
                        <w:position w:val="0"/>
                        <w:shd w:val="clear" w:color="auto" w:fill="auto"/>
                      </w:rPr>
                      <w:t>#</w:t>
                    </w:r>
                    <w:r>
                      <w:rPr>
                        <w:color w:val="000000"/>
                        <w:spacing w:val="0"/>
                        <w:w w:val="100"/>
                        <w:position w:val="0"/>
                        <w:shd w:val="clear" w:color="auto" w:fill="auto"/>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docVars>
    <w:docVar w:name="commondata" w:val="eyJoZGlkIjoiNzQ4ZGNkYjgyZDFiMDk0YzFkZGUwZjIwNTg2NTgxN2EifQ=="/>
  </w:docVars>
  <w:rsids>
    <w:rsidRoot w:val="00000000"/>
    <w:rsid w:val="300939AE"/>
    <w:rsid w:val="55130C5E"/>
    <w:rsid w:val="5B9863CD"/>
    <w:rsid w:val="62E13E30"/>
    <w:rsid w:val="663514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crosoft JhengHei Light" w:hAnsi="Microsoft JhengHei Light" w:eastAsia="Microsoft JhengHei Light" w:cs="Microsoft JhengHei Light"/>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Microsoft JhengHei Light" w:hAnsi="Microsoft JhengHei Light" w:eastAsia="Microsoft JhengHei Light" w:cs="Microsoft JhengHei Light"/>
      <w:color w:val="000000"/>
      <w:spacing w:val="0"/>
      <w:w w:val="100"/>
      <w:position w:val="0"/>
      <w:sz w:val="24"/>
      <w:szCs w:val="24"/>
      <w:shd w:val="clear" w:color="auto" w:fill="auto"/>
      <w:lang w:val="en-US" w:eastAsia="en-US" w:bidi="en-US"/>
    </w:rPr>
  </w:style>
  <w:style w:type="character" w:default="1" w:styleId="3">
    <w:name w:val="Default Paragraph Font"/>
    <w:qFormat/>
    <w:uiPriority w:val="0"/>
    <w:rPr>
      <w:rFonts w:ascii="Microsoft JhengHei Light" w:hAnsi="Microsoft JhengHei Light" w:eastAsia="Microsoft JhengHei Light" w:cs="Microsoft JhengHei Light"/>
      <w:color w:val="000000"/>
      <w:spacing w:val="0"/>
      <w:w w:val="100"/>
      <w:position w:val="0"/>
      <w:sz w:val="24"/>
      <w:szCs w:val="24"/>
      <w:shd w:val="clear" w:color="auto" w:fill="auto"/>
      <w:lang w:val="en-US" w:eastAsia="en-US" w:bidi="en-US"/>
    </w:rPr>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正文文本 (3)_"/>
    <w:basedOn w:val="3"/>
    <w:link w:val="5"/>
    <w:qFormat/>
    <w:uiPriority w:val="0"/>
    <w:rPr>
      <w:rFonts w:ascii="Gulim" w:hAnsi="Gulim" w:eastAsia="Gulim" w:cs="Gulim"/>
      <w:sz w:val="28"/>
      <w:szCs w:val="28"/>
      <w:u w:val="none"/>
      <w:lang w:val="zh-CN" w:eastAsia="zh-CN" w:bidi="zh-CN"/>
    </w:rPr>
  </w:style>
  <w:style w:type="paragraph" w:customStyle="1" w:styleId="5">
    <w:name w:val="正文文本 (3)"/>
    <w:basedOn w:val="1"/>
    <w:link w:val="4"/>
    <w:qFormat/>
    <w:uiPriority w:val="0"/>
    <w:pPr>
      <w:widowControl w:val="0"/>
      <w:shd w:val="clear" w:color="auto" w:fill="FFFFFF"/>
      <w:spacing w:before="200" w:after="240"/>
    </w:pPr>
    <w:rPr>
      <w:rFonts w:ascii="Gulim" w:hAnsi="Gulim" w:eastAsia="Gulim" w:cs="Gulim"/>
      <w:sz w:val="28"/>
      <w:szCs w:val="28"/>
      <w:u w:val="none"/>
      <w:lang w:val="zh-CN" w:eastAsia="zh-CN" w:bidi="zh-CN"/>
    </w:rPr>
  </w:style>
  <w:style w:type="character" w:customStyle="1" w:styleId="6">
    <w:name w:val="页眉或页脚 (2)_"/>
    <w:basedOn w:val="3"/>
    <w:link w:val="7"/>
    <w:qFormat/>
    <w:uiPriority w:val="0"/>
    <w:rPr>
      <w:rFonts w:ascii="Times New Roman" w:hAnsi="Times New Roman" w:eastAsia="Times New Roman" w:cs="Times New Roman"/>
      <w:sz w:val="20"/>
      <w:szCs w:val="20"/>
      <w:u w:val="none"/>
      <w:lang w:val="zh-CN" w:eastAsia="zh-CN" w:bidi="zh-CN"/>
    </w:rPr>
  </w:style>
  <w:style w:type="paragraph" w:customStyle="1" w:styleId="7">
    <w:name w:val="页眉或页脚 (2)"/>
    <w:basedOn w:val="1"/>
    <w:link w:val="6"/>
    <w:qFormat/>
    <w:uiPriority w:val="0"/>
    <w:pPr>
      <w:widowControl w:val="0"/>
      <w:shd w:val="clear" w:color="auto" w:fill="FFFFFF"/>
    </w:pPr>
    <w:rPr>
      <w:rFonts w:ascii="Times New Roman" w:hAnsi="Times New Roman" w:eastAsia="Times New Roman" w:cs="Times New Roman"/>
      <w:sz w:val="20"/>
      <w:szCs w:val="20"/>
      <w:u w:val="none"/>
      <w:lang w:val="zh-CN" w:eastAsia="zh-CN" w:bidi="zh-CN"/>
    </w:rPr>
  </w:style>
  <w:style w:type="character" w:customStyle="1" w:styleId="8">
    <w:name w:val="标题 #1_"/>
    <w:basedOn w:val="3"/>
    <w:link w:val="9"/>
    <w:qFormat/>
    <w:uiPriority w:val="0"/>
    <w:rPr>
      <w:rFonts w:ascii="MingLiU" w:hAnsi="MingLiU" w:eastAsia="MingLiU" w:cs="MingLiU"/>
      <w:sz w:val="32"/>
      <w:szCs w:val="32"/>
      <w:u w:val="none"/>
      <w:lang w:val="zh-CN" w:eastAsia="zh-CN" w:bidi="zh-CN"/>
    </w:rPr>
  </w:style>
  <w:style w:type="paragraph" w:customStyle="1" w:styleId="9">
    <w:name w:val="标题 #1"/>
    <w:basedOn w:val="1"/>
    <w:link w:val="8"/>
    <w:qFormat/>
    <w:uiPriority w:val="0"/>
    <w:pPr>
      <w:widowControl w:val="0"/>
      <w:shd w:val="clear" w:color="auto" w:fill="FFFFFF"/>
      <w:spacing w:after="330"/>
      <w:jc w:val="center"/>
      <w:outlineLvl w:val="0"/>
    </w:pPr>
    <w:rPr>
      <w:rFonts w:ascii="MingLiU" w:hAnsi="MingLiU" w:eastAsia="MingLiU" w:cs="MingLiU"/>
      <w:sz w:val="32"/>
      <w:szCs w:val="32"/>
      <w:u w:val="none"/>
      <w:lang w:val="zh-CN" w:eastAsia="zh-CN" w:bidi="zh-CN"/>
    </w:rPr>
  </w:style>
  <w:style w:type="character" w:customStyle="1" w:styleId="10">
    <w:name w:val="标题 #2_"/>
    <w:basedOn w:val="3"/>
    <w:link w:val="11"/>
    <w:qFormat/>
    <w:uiPriority w:val="0"/>
    <w:rPr>
      <w:rFonts w:ascii="MingLiU" w:hAnsi="MingLiU" w:eastAsia="MingLiU" w:cs="MingLiU"/>
      <w:sz w:val="28"/>
      <w:szCs w:val="28"/>
      <w:u w:val="none"/>
      <w:lang w:val="zh-CN" w:eastAsia="zh-CN" w:bidi="zh-CN"/>
    </w:rPr>
  </w:style>
  <w:style w:type="paragraph" w:customStyle="1" w:styleId="11">
    <w:name w:val="标题 #2"/>
    <w:basedOn w:val="1"/>
    <w:link w:val="10"/>
    <w:qFormat/>
    <w:uiPriority w:val="0"/>
    <w:pPr>
      <w:widowControl w:val="0"/>
      <w:shd w:val="clear" w:color="auto" w:fill="FFFFFF"/>
      <w:spacing w:after="180"/>
      <w:jc w:val="center"/>
      <w:outlineLvl w:val="1"/>
    </w:pPr>
    <w:rPr>
      <w:rFonts w:ascii="MingLiU" w:hAnsi="MingLiU" w:eastAsia="MingLiU" w:cs="MingLiU"/>
      <w:sz w:val="28"/>
      <w:szCs w:val="28"/>
      <w:u w:val="none"/>
      <w:lang w:val="zh-CN" w:eastAsia="zh-CN" w:bidi="zh-CN"/>
    </w:rPr>
  </w:style>
  <w:style w:type="character" w:customStyle="1" w:styleId="12">
    <w:name w:val="正文文本_"/>
    <w:basedOn w:val="3"/>
    <w:link w:val="13"/>
    <w:qFormat/>
    <w:uiPriority w:val="0"/>
    <w:rPr>
      <w:rFonts w:ascii="MingLiU" w:hAnsi="MingLiU" w:eastAsia="MingLiU" w:cs="MingLiU"/>
      <w:sz w:val="22"/>
      <w:szCs w:val="22"/>
      <w:u w:val="none"/>
      <w:lang w:val="zh-CN" w:eastAsia="zh-CN" w:bidi="zh-CN"/>
    </w:rPr>
  </w:style>
  <w:style w:type="paragraph" w:customStyle="1" w:styleId="13">
    <w:name w:val="正文文本1"/>
    <w:basedOn w:val="1"/>
    <w:link w:val="12"/>
    <w:qFormat/>
    <w:uiPriority w:val="0"/>
    <w:pPr>
      <w:widowControl w:val="0"/>
      <w:shd w:val="clear" w:color="auto" w:fill="FFFFFF"/>
      <w:spacing w:line="420" w:lineRule="auto"/>
      <w:ind w:firstLine="400"/>
    </w:pPr>
    <w:rPr>
      <w:rFonts w:ascii="MingLiU" w:hAnsi="MingLiU" w:eastAsia="MingLiU" w:cs="MingLiU"/>
      <w:sz w:val="22"/>
      <w:szCs w:val="22"/>
      <w:u w:val="none"/>
      <w:lang w:val="zh-CN" w:eastAsia="zh-CN" w:bidi="zh-CN"/>
    </w:rPr>
  </w:style>
  <w:style w:type="character" w:customStyle="1" w:styleId="14">
    <w:name w:val="表格标题_"/>
    <w:basedOn w:val="3"/>
    <w:link w:val="15"/>
    <w:qFormat/>
    <w:uiPriority w:val="0"/>
    <w:rPr>
      <w:rFonts w:ascii="MingLiU" w:hAnsi="MingLiU" w:eastAsia="MingLiU" w:cs="MingLiU"/>
      <w:sz w:val="22"/>
      <w:szCs w:val="22"/>
      <w:u w:val="none"/>
      <w:lang w:val="zh-CN" w:eastAsia="zh-CN" w:bidi="zh-CN"/>
    </w:rPr>
  </w:style>
  <w:style w:type="paragraph" w:customStyle="1" w:styleId="15">
    <w:name w:val="表格标题"/>
    <w:basedOn w:val="1"/>
    <w:link w:val="14"/>
    <w:qFormat/>
    <w:uiPriority w:val="0"/>
    <w:pPr>
      <w:widowControl w:val="0"/>
      <w:shd w:val="clear" w:color="auto" w:fill="FFFFFF"/>
      <w:spacing w:line="326" w:lineRule="auto"/>
      <w:ind w:firstLine="460"/>
    </w:pPr>
    <w:rPr>
      <w:rFonts w:ascii="MingLiU" w:hAnsi="MingLiU" w:eastAsia="MingLiU" w:cs="MingLiU"/>
      <w:sz w:val="22"/>
      <w:szCs w:val="22"/>
      <w:u w:val="none"/>
      <w:lang w:val="zh-CN" w:eastAsia="zh-CN" w:bidi="zh-CN"/>
    </w:rPr>
  </w:style>
  <w:style w:type="character" w:customStyle="1" w:styleId="16">
    <w:name w:val="其他_"/>
    <w:basedOn w:val="3"/>
    <w:link w:val="17"/>
    <w:qFormat/>
    <w:uiPriority w:val="0"/>
    <w:rPr>
      <w:rFonts w:ascii="MingLiU" w:hAnsi="MingLiU" w:eastAsia="MingLiU" w:cs="MingLiU"/>
      <w:sz w:val="22"/>
      <w:szCs w:val="22"/>
      <w:u w:val="none"/>
      <w:lang w:val="zh-CN" w:eastAsia="zh-CN" w:bidi="zh-CN"/>
    </w:rPr>
  </w:style>
  <w:style w:type="paragraph" w:customStyle="1" w:styleId="17">
    <w:name w:val="其他"/>
    <w:basedOn w:val="1"/>
    <w:link w:val="16"/>
    <w:qFormat/>
    <w:uiPriority w:val="0"/>
    <w:pPr>
      <w:widowControl w:val="0"/>
      <w:shd w:val="clear" w:color="auto" w:fill="FFFFFF"/>
      <w:spacing w:line="420" w:lineRule="auto"/>
      <w:ind w:firstLine="400"/>
    </w:pPr>
    <w:rPr>
      <w:rFonts w:ascii="MingLiU" w:hAnsi="MingLiU" w:eastAsia="MingLiU" w:cs="MingLiU"/>
      <w:sz w:val="22"/>
      <w:szCs w:val="22"/>
      <w:u w:val="none"/>
      <w:lang w:val="zh-CN" w:eastAsia="zh-CN" w:bidi="zh-CN"/>
    </w:rPr>
  </w:style>
  <w:style w:type="character" w:customStyle="1" w:styleId="18">
    <w:name w:val="正文文本 (2)_"/>
    <w:basedOn w:val="3"/>
    <w:link w:val="19"/>
    <w:qFormat/>
    <w:uiPriority w:val="0"/>
    <w:rPr>
      <w:rFonts w:ascii="Times New Roman" w:hAnsi="Times New Roman" w:eastAsia="Times New Roman" w:cs="Times New Roman"/>
      <w:b/>
      <w:bCs/>
      <w:sz w:val="24"/>
      <w:szCs w:val="24"/>
      <w:u w:val="none"/>
      <w:lang w:val="zh-CN" w:eastAsia="zh-CN" w:bidi="zh-CN"/>
    </w:rPr>
  </w:style>
  <w:style w:type="paragraph" w:customStyle="1" w:styleId="19">
    <w:name w:val="正文文本 (2)"/>
    <w:basedOn w:val="1"/>
    <w:link w:val="18"/>
    <w:qFormat/>
    <w:uiPriority w:val="0"/>
    <w:pPr>
      <w:widowControl w:val="0"/>
      <w:shd w:val="clear" w:color="auto" w:fill="FFFFFF"/>
      <w:spacing w:after="200"/>
      <w:ind w:right="380"/>
      <w:jc w:val="right"/>
    </w:pPr>
    <w:rPr>
      <w:rFonts w:ascii="Times New Roman" w:hAnsi="Times New Roman" w:eastAsia="Times New Roman" w:cs="Times New Roman"/>
      <w:b/>
      <w:bCs/>
      <w:sz w:val="24"/>
      <w:szCs w:val="24"/>
      <w:u w:val="none"/>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66</TotalTime>
  <ScaleCrop>false</ScaleCrop>
  <LinksUpToDate>false</LinksUpToDate>
  <Application>WPS Office_11.1.0.11875_F1E327BC-269C-435d-A152-05C5408002CA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2022-09-06T03:54:00Z</dcterms:created>
  <dc:creator>夏天</dc:creator>
  <cp:lastModifiedBy>白石</cp:lastModifiedBy>
  <dcterms:modified xsi:type="dcterms:W3CDTF">2022-09-07T04:20:06Z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742FA3AB2429463BBCFE5C7385394622</vt:lpwstr>
  </property>
</Properties>
</file>